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rPr>
          <w:bCs/>
          <w:i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>
        <w:rPr>
          <w:rFonts w:eastAsia="Calibri" w:cs="Times New Roman"/>
          <w:bCs/>
          <w:i/>
          <w:iCs/>
          <w:color w:val="000000"/>
        </w:rPr>
        <w:t>О</w:t>
      </w:r>
      <w:r>
        <w:rPr>
          <w:rFonts w:cs="Times New Roman"/>
          <w:bCs/>
          <w:i/>
          <w:iCs/>
          <w:color w:val="000000"/>
        </w:rPr>
        <w:t>тдел по строительству, архитектуре и ЖКХ  Верхнехавского муниципального района Воронежской области.</w:t>
      </w:r>
      <w:r>
        <w:rPr>
          <w:rFonts w:cs="Times New Roman"/>
          <w:bCs/>
          <w:color w:val="000000"/>
        </w:rPr>
        <w:t xml:space="preserve"> </w:t>
      </w:r>
    </w:p>
    <w:p>
      <w:pPr>
        <w:pStyle w:val="Normal"/>
        <w:ind w:firstLine="709"/>
        <w:jc w:val="both"/>
        <w:rPr>
          <w:i/>
          <w:i/>
        </w:rPr>
      </w:pPr>
      <w:r>
        <w:rPr>
          <w:rFonts w:eastAsia="Calibri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</w:rPr>
        <w:t xml:space="preserve">Проект </w:t>
      </w:r>
      <w:r>
        <w:rPr>
          <w:rFonts w:eastAsia="Calibri" w:cs="Times New Roman"/>
          <w:i/>
          <w:iCs/>
          <w:color w:val="auto"/>
          <w:kern w:val="0"/>
          <w:sz w:val="24"/>
          <w:szCs w:val="24"/>
          <w:lang w:val="ru-RU" w:eastAsia="ru-RU" w:bidi="ar-SA"/>
        </w:rPr>
        <w:t>решения Совета народных депутатов</w:t>
      </w:r>
      <w:r>
        <w:rPr>
          <w:rFonts w:eastAsia="Calibri"/>
          <w:i/>
          <w:iCs/>
        </w:rPr>
        <w:t xml:space="preserve"> Верхнехавского муниципального района Воронежской области</w:t>
      </w:r>
      <w:r>
        <w:rPr>
          <w:rFonts w:eastAsia="Calibri"/>
        </w:rPr>
        <w:t xml:space="preserve"> </w:t>
      </w:r>
      <w:r>
        <w:rPr>
          <w:i/>
        </w:rPr>
        <w:t>«</w:t>
      </w:r>
      <w:r>
        <w:rPr>
          <w:i/>
          <w:sz w:val="24"/>
          <w:szCs w:val="24"/>
        </w:rPr>
        <w:t xml:space="preserve">Об утверждении </w:t>
      </w:r>
      <w:r>
        <w:rPr>
          <w:bCs/>
          <w:i/>
          <w:sz w:val="24"/>
          <w:szCs w:val="24"/>
        </w:rPr>
        <w:t xml:space="preserve">Положения </w:t>
      </w:r>
      <w:r>
        <w:rPr>
          <w:i/>
          <w:sz w:val="24"/>
          <w:szCs w:val="24"/>
        </w:rPr>
        <w:t xml:space="preserve">о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муниципальном жилищном контроле на территории Верхнехавского муниципального района Воронежской области</w:t>
      </w:r>
      <w:r>
        <w:rPr>
          <w:i/>
          <w:sz w:val="22"/>
          <w:szCs w:val="22"/>
        </w:rPr>
        <w:t>».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с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даты его официального опубликования, за исключением пункта 6.2 раздела 6 Положения о муниципальном жилищном контроле на территории Верхнехавского муниципального района Воронежской области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.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Пункт 6.2 раздела 6 Положения о муниципальном жилищном контроле на территории Верхнехавского муниципального района Воронежской области вступает в силу с 01.09.2025г.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eastAsia="Calibri"/>
          <w:i/>
          <w:color w:val="auto"/>
          <w:sz w:val="24"/>
          <w:szCs w:val="24"/>
        </w:rPr>
        <w:t xml:space="preserve">Федеральным законом от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31.07.2020</w:t>
      </w:r>
      <w:r>
        <w:rPr>
          <w:rFonts w:eastAsia="Calibri"/>
          <w:i/>
          <w:color w:val="auto"/>
          <w:sz w:val="24"/>
          <w:szCs w:val="24"/>
        </w:rPr>
        <w:t xml:space="preserve"> №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248</w:t>
      </w:r>
      <w:r>
        <w:rPr>
          <w:rFonts w:eastAsia="Calibri"/>
          <w:i/>
          <w:color w:val="auto"/>
          <w:sz w:val="24"/>
          <w:szCs w:val="24"/>
        </w:rPr>
        <w:t>-ФЗ "О государственном контроле (надзоре) и муниципальном контроле в Российской Федерации</w:t>
      </w:r>
      <w:r>
        <w:rPr>
          <w:rFonts w:eastAsia="Calibri"/>
          <w:i/>
          <w:color w:val="000000"/>
          <w:sz w:val="24"/>
          <w:szCs w:val="24"/>
        </w:rPr>
        <w:t xml:space="preserve">» на органы местного самоуправления возложена обязанность по утверждению положений о видах муниципального контроля. Проект решения определяет правила организации и осуществления деятельности по контролю за соблюдением гражданами и организациями требований законодательства Российской Федерации в отношении объектов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жилищных</w:t>
      </w:r>
      <w:r>
        <w:rPr>
          <w:rFonts w:eastAsia="Calibri"/>
          <w:i/>
          <w:color w:val="000000"/>
          <w:sz w:val="24"/>
          <w:szCs w:val="24"/>
        </w:rPr>
        <w:t xml:space="preserve"> отношений, за нарушение которых законодательством Российской Федерации предусмотрена административная ответственность.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  <w:color w:val="000000"/>
        </w:rPr>
      </w:pPr>
      <w:r>
        <w:rPr>
          <w:rFonts w:eastAsia="Calibri"/>
        </w:rPr>
        <w:t>1.5</w:t>
      </w:r>
      <w:r>
        <w:rPr>
          <w:rFonts w:eastAsia="Calibri"/>
          <w:color w:val="000000"/>
        </w:rPr>
        <w:t xml:space="preserve">. Краткое описание целей предлагаемого правового регулирования: </w:t>
      </w:r>
      <w:r>
        <w:rPr>
          <w:rFonts w:eastAsia="Calibri"/>
          <w:i/>
          <w:color w:val="000000"/>
        </w:rPr>
        <w:t xml:space="preserve">соблюдение гражданами и организациями обязательных требований, установленных законами и иными нормативными правовыми актами Российской Федерации, законами и иными правовым актами Воронежской области в области использования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жилья</w:t>
      </w:r>
      <w:r>
        <w:rPr>
          <w:rFonts w:eastAsia="Calibri"/>
          <w:i/>
          <w:color w:val="000000"/>
        </w:rPr>
        <w:t>, за нарушение которых законодательством Российской Федерации, законодательством Воронежской области предусмотрена административная ответственность; соблюдение контролируемыми лицами требований, содержащихся в разрешительных документах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rFonts w:eastAsia="Calibri"/>
          <w:i/>
          <w:iCs/>
          <w:color w:val="000000"/>
        </w:rPr>
        <w:t xml:space="preserve">разработано </w:t>
      </w:r>
      <w:r>
        <w:rPr>
          <w:rFonts w:eastAsia="Calibri"/>
          <w:bCs/>
          <w:i/>
          <w:iCs/>
          <w:color w:val="000000"/>
          <w:sz w:val="24"/>
          <w:szCs w:val="24"/>
        </w:rPr>
        <w:t xml:space="preserve">Положение </w:t>
      </w:r>
      <w:r>
        <w:rPr>
          <w:rFonts w:eastAsia="Calibri"/>
          <w:i/>
          <w:iCs/>
          <w:color w:val="000000"/>
          <w:sz w:val="24"/>
          <w:szCs w:val="24"/>
        </w:rPr>
        <w:t xml:space="preserve">о муниципальном 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lang w:val="ru-RU" w:eastAsia="ru-RU" w:bidi="ar-SA"/>
        </w:rPr>
        <w:t>жилищном</w:t>
      </w:r>
      <w:r>
        <w:rPr>
          <w:rFonts w:eastAsia="Calibri"/>
          <w:i/>
          <w:iCs/>
          <w:color w:val="000000"/>
          <w:sz w:val="24"/>
          <w:szCs w:val="24"/>
        </w:rPr>
        <w:t xml:space="preserve"> контроле на территории Верхнехавского муниципального района Воронежской области</w:t>
      </w:r>
      <w:r>
        <w:rPr>
          <w:rFonts w:eastAsia="Calibri"/>
          <w:i/>
          <w:color w:val="000000"/>
        </w:rPr>
        <w:t xml:space="preserve">. </w:t>
      </w:r>
      <w:r>
        <w:rPr>
          <w:rFonts w:eastAsia="Calibri"/>
          <w:i/>
          <w:color w:val="000000"/>
        </w:rPr>
        <w:t>Муниципальный жилищный контроль осуществляется посредством профилактики нарушений</w:t>
      </w:r>
      <w:r>
        <w:rPr>
          <w:i/>
        </w:rPr>
        <w:t xml:space="preserve"> </w:t>
      </w:r>
      <w:r>
        <w:rPr>
          <w:i/>
        </w:rPr>
        <w:t xml:space="preserve">обязательных требований, организации и проведения контрольных мероприятий, принятия предусмотренных законодательством РФ мер про пресечению, предупреждению и (или) устранению последствий выявленных нарушений обязательных требований. </w:t>
      </w:r>
      <w:r>
        <w:rPr>
          <w:i/>
        </w:rPr>
        <w:t xml:space="preserve">Положение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устанавливает порядок организации и осуществления муниципального жилищного контроля на территории Верхнехавского муниципального района и определяет контрольные органы, уполномоченные на осуществление муниципального контроля; риск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и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 причинения вреда (ущерба); профилактически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е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 мероприяти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я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, которые проводятся при осуществлении муниципального контроля;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порядок организации и осуществления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контрольны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х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 мероприяти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й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, проводимые в рамках муниципального контроля;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перечень мер, принимаемых по результатам контрольных мероприятий;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досудебн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ый порядок обжалования решений администрации, действий (бездействия) должностных лиц при осуществлении муниципального жилищного контроля.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3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.0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5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.202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lang w:val="ru-RU" w:eastAsia="en-US" w:bidi="ar-SA"/>
        </w:rPr>
        <w:t>5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 xml:space="preserve"> по 2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1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.0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5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.202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5</w:t>
      </w:r>
      <w:r>
        <w:rPr>
          <w:rFonts w:eastAsia="Calibri" w:ascii="Times New Roman" w:hAnsi="Times New Roman"/>
          <w:i/>
          <w:color w:val="000000"/>
          <w:sz w:val="24"/>
          <w:szCs w:val="24"/>
        </w:rPr>
        <w:t>гг</w:t>
      </w:r>
      <w:r>
        <w:rPr>
          <w:rFonts w:eastAsia="Calibri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rFonts w:eastAsia="Calibri"/>
          <w:i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i/>
          <w:shd w:fill="auto" w:val="clear"/>
        </w:rPr>
        <w:t xml:space="preserve">Ф.И.О.: </w:t>
      </w:r>
      <w:r>
        <w:rPr>
          <w:rFonts w:eastAsia="Calibri"/>
          <w:i/>
          <w:shd w:fill="auto" w:val="clear"/>
        </w:rPr>
        <w:t>В</w:t>
      </w:r>
      <w:r>
        <w:rPr>
          <w:rFonts w:eastAsia="Calibri" w:cs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елибеков Магомедсултан Агабекович</w:t>
      </w:r>
      <w:r>
        <w:rPr>
          <w:rFonts w:eastAsia="Calibri"/>
          <w:i/>
          <w:shd w:fill="auto" w:val="clear"/>
        </w:rPr>
        <w:t>;</w:t>
      </w:r>
    </w:p>
    <w:p>
      <w:pPr>
        <w:pStyle w:val="PlainText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>Начальник</w:t>
      </w:r>
      <w:r>
        <w:rPr>
          <w:rFonts w:eastAsia="Calibri" w:cs="Times New Roman" w:ascii="Times New Roman" w:hAnsi="Times New Roman"/>
          <w:i/>
          <w:sz w:val="24"/>
          <w:szCs w:val="24"/>
          <w:shd w:fill="auto" w:val="clear"/>
        </w:rPr>
        <w:t xml:space="preserve"> отдела по строительству, архитектуре и ЖКХ администрации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Верхнехавского</w:t>
      </w:r>
      <w:r>
        <w:rPr>
          <w:rFonts w:eastAsia="Calibri" w:cs="Times New Roman" w:ascii="Times New Roman" w:hAnsi="Times New Roman"/>
          <w:i/>
          <w:sz w:val="24"/>
          <w:szCs w:val="24"/>
          <w:shd w:fill="auto" w:val="clear"/>
        </w:rPr>
        <w:t xml:space="preserve"> муниципального района  Воронежской области;</w:t>
      </w:r>
    </w:p>
    <w:p>
      <w:pPr>
        <w:pStyle w:val="PlainText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i/>
          <w:sz w:val="24"/>
          <w:szCs w:val="24"/>
          <w:shd w:fill="auto" w:val="clear"/>
        </w:rPr>
        <w:t xml:space="preserve">Тел.:  </w:t>
      </w:r>
      <w:r>
        <w:rPr>
          <w:rFonts w:eastAsia="Calibri" w:cs="Times New Roman" w:ascii="Times New Roman" w:hAnsi="Times New Roman"/>
          <w:i/>
          <w:iCs/>
          <w:sz w:val="24"/>
          <w:szCs w:val="24"/>
          <w:shd w:fill="auto" w:val="clear"/>
        </w:rPr>
        <w:t>(47343)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>71-0-44.</w:t>
      </w:r>
    </w:p>
    <w:p>
      <w:pPr>
        <w:pStyle w:val="PlainText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ab/>
      </w:r>
      <w:r>
        <w:rPr>
          <w:rFonts w:eastAsia="Calibri" w:ascii="Times New Roman" w:hAnsi="Times New Roman"/>
          <w:sz w:val="24"/>
          <w:szCs w:val="24"/>
        </w:rPr>
        <w:t xml:space="preserve">Адрес электронной почты: </w:t>
      </w:r>
      <w:hyperlink r:id="rId2">
        <w:r>
          <w:rPr>
            <w:rFonts w:ascii="Times New Roman" w:hAnsi="Times New Roman"/>
            <w:i/>
            <w:sz w:val="24"/>
            <w:szCs w:val="24"/>
            <w:lang w:val="en-US"/>
          </w:rPr>
          <w:t>e_otdel@govvrn.ru</w:t>
        </w:r>
      </w:hyperlink>
      <w:r>
        <w:rPr>
          <w:rFonts w:eastAsia="Calibri" w:ascii="Times New Roman" w:hAnsi="Times New Roman"/>
          <w:i/>
          <w:sz w:val="24"/>
          <w:szCs w:val="24"/>
        </w:rPr>
        <w:t>.</w:t>
      </w:r>
    </w:p>
    <w:p>
      <w:pPr>
        <w:pStyle w:val="Normal"/>
        <w:ind w:firstLine="709"/>
        <w:jc w:val="both"/>
        <w:rPr>
          <w:rFonts w:eastAsia="Calibri"/>
          <w:highlight w:val="none"/>
          <w:shd w:fill="FFFF00" w:val="clear"/>
        </w:rPr>
      </w:pPr>
      <w:r>
        <w:rPr>
          <w:rFonts w:eastAsia="Calibri"/>
          <w:shd w:fill="FFFF00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2. Описание проблемы,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  <w:shd w:fill="auto" w:val="clear"/>
        </w:rPr>
        <w:t xml:space="preserve">2.1. Формулировка проблемы: </w:t>
      </w:r>
      <w:r>
        <w:rPr>
          <w:rFonts w:eastAsia="Calibri"/>
          <w:i/>
          <w:shd w:fill="auto" w:val="clear"/>
        </w:rPr>
        <w:t xml:space="preserve">проект </w:t>
      </w:r>
      <w:r>
        <w:rPr>
          <w:rFonts w:eastAsia="Calibri" w:cs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решения</w:t>
      </w:r>
      <w:r>
        <w:rPr>
          <w:rFonts w:eastAsia="Calibri"/>
          <w:i/>
          <w:shd w:fill="auto" w:val="clear"/>
        </w:rPr>
        <w:t xml:space="preserve"> являе</w:t>
      </w:r>
      <w:r>
        <w:rPr>
          <w:rFonts w:eastAsia="Calibri"/>
          <w:i/>
        </w:rPr>
        <w:t xml:space="preserve">тся необходимым документом для урегулирования вопросов, связанных с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осуществление муниципального жилищного контроля на территории Верхнехавского муниципального района</w:t>
      </w:r>
      <w:r>
        <w:rPr>
          <w:rFonts w:eastAsia="Calibri"/>
          <w:i/>
          <w:sz w:val="24"/>
          <w:szCs w:val="24"/>
        </w:rPr>
        <w:t>.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отсутствует</w:t>
      </w:r>
      <w:r>
        <w:rPr>
          <w:i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i/>
        </w:rPr>
        <w:t xml:space="preserve"> индивидуальные предприниматели, юридические лица, граждане.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>2.4.</w:t>
      </w:r>
      <w:r>
        <w:rPr>
          <w:rFonts w:eastAsia="Calibri"/>
          <w:color w:val="000000"/>
        </w:rPr>
        <w:t xml:space="preserve"> Характеристика негативных эффектов, возникающих в связи с наличием проблемы, их количественная оценка:</w:t>
      </w:r>
      <w:r>
        <w:rPr>
          <w:rFonts w:eastAsia="Calibri"/>
          <w:i/>
          <w:color w:val="000000"/>
        </w:rPr>
        <w:t xml:space="preserve"> </w:t>
      </w:r>
      <w:r>
        <w:rPr>
          <w:rFonts w:eastAsia="Calibri"/>
          <w:i/>
          <w:color w:val="000000"/>
          <w:lang w:val="ru-RU"/>
        </w:rPr>
        <w:t xml:space="preserve">причинение вреда (ущерба) охраняемым законом ценностям, вызванного нарушениями обязательных требований </w:t>
      </w:r>
      <w:r>
        <w:rPr>
          <w:rFonts w:eastAsia="Calibri" w:cs="Times New Roman"/>
          <w:i/>
          <w:color w:val="000000"/>
          <w:kern w:val="0"/>
          <w:sz w:val="24"/>
          <w:szCs w:val="24"/>
          <w:lang w:val="ru-RU" w:eastAsia="ru-RU" w:bidi="ar-SA"/>
        </w:rPr>
        <w:t>жилищного</w:t>
      </w:r>
      <w:r>
        <w:rPr>
          <w:rFonts w:eastAsia="Calibri"/>
          <w:i/>
          <w:color w:val="000000"/>
          <w:lang w:val="ru-RU"/>
        </w:rPr>
        <w:t xml:space="preserve"> законодательства.</w:t>
      </w:r>
    </w:p>
    <w:p>
      <w:pPr>
        <w:pStyle w:val="Normal"/>
        <w:ind w:firstLine="709"/>
        <w:jc w:val="both"/>
        <w:rPr/>
      </w:pPr>
      <w:r>
        <w:rPr>
          <w:rFonts w:eastAsia="Calibri"/>
        </w:rPr>
        <w:t>2.5.</w:t>
      </w:r>
      <w:r>
        <w:rPr>
          <w:rFonts w:eastAsia="Calibri"/>
          <w:color w:val="000000"/>
        </w:rPr>
        <w:t xml:space="preserve"> Причины возникновения проблемы и факторы, поддерживающие ее существование: </w:t>
      </w:r>
      <w:r>
        <w:rPr>
          <w:rFonts w:eastAsia="Calibri"/>
          <w:i/>
          <w:iCs/>
          <w:color w:val="000000"/>
        </w:rPr>
        <w:t>профилактика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i/>
          <w:iCs/>
          <w:color w:val="000000"/>
        </w:rPr>
        <w:t>нарушени</w:t>
      </w:r>
      <w:r>
        <w:rPr>
          <w:rFonts w:eastAsia="Calibri"/>
          <w:i/>
          <w:iCs/>
          <w:color w:val="000000"/>
        </w:rPr>
        <w:t>й</w:t>
      </w:r>
      <w:r>
        <w:rPr>
          <w:rFonts w:eastAsia="Calibri"/>
          <w:i/>
          <w:iCs/>
          <w:color w:val="000000"/>
        </w:rPr>
        <w:t xml:space="preserve"> юридическими лицами, индивидуальными предпринимателями, гражданами требований, установленных федеральным и областным законодательством, муниципальными правовыми актами. 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 xml:space="preserve">отсутствие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нормативного правового регулирования.</w:t>
      </w:r>
    </w:p>
    <w:p>
      <w:pPr>
        <w:pStyle w:val="Normal"/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>2.7.</w:t>
      </w:r>
      <w:r>
        <w:rPr>
          <w:rFonts w:eastAsia="Calibri"/>
          <w:color w:val="000000"/>
        </w:rPr>
        <w:t xml:space="preserve"> Опыт решения аналогичных проблем в других муниципальных образованиях: </w:t>
      </w:r>
      <w:r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bookmarkStart w:id="0" w:name="Par65"/>
      <w:bookmarkEnd w:id="0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361"/>
        <w:gridCol w:w="1984"/>
        <w:gridCol w:w="2944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2"/>
                <w:szCs w:val="22"/>
              </w:rPr>
              <w:t>Принятие решения Совета народных депутатов Верхнехавского муниципального района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Воронежской области</w:t>
            </w:r>
            <w:r>
              <w:rPr>
                <w:rFonts w:eastAsia="Calibri"/>
                <w:bCs/>
                <w:i/>
                <w:sz w:val="22"/>
                <w:szCs w:val="22"/>
              </w:rPr>
              <w:t xml:space="preserve"> «Об утверждении Положения о муниципальном </w:t>
            </w:r>
            <w:r>
              <w:rPr>
                <w:rFonts w:eastAsia="Calibri" w:cs="Times New Roman"/>
                <w:bCs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жилищном </w:t>
            </w:r>
            <w:r>
              <w:rPr>
                <w:rFonts w:eastAsia="Calibri"/>
                <w:bCs/>
                <w:i/>
                <w:sz w:val="22"/>
                <w:szCs w:val="22"/>
              </w:rPr>
              <w:t>контроле на территории Верхнехавского муниципального района Воронежской области».</w:t>
            </w:r>
          </w:p>
          <w:p>
            <w:pPr>
              <w:pStyle w:val="Normal"/>
              <w:jc w:val="center"/>
              <w:rPr>
                <w:rFonts w:eastAsia="Calibri"/>
                <w:bCs/>
                <w:i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  <w:highlight w:val="yellow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с  </w:t>
            </w:r>
            <w:r>
              <w:rPr>
                <w:rFonts w:eastAsia="Calibri"/>
                <w:bCs/>
                <w:i/>
                <w:sz w:val="20"/>
                <w:szCs w:val="20"/>
              </w:rPr>
              <w:t>даты его официального опубликования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  <w:highlight w:val="yellow"/>
        </w:rPr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 </w:t>
      </w:r>
      <w:r>
        <w:rPr>
          <w:rFonts w:eastAsia="Calibri"/>
          <w:i/>
          <w:iCs/>
        </w:rPr>
        <w:t>Жилищный</w:t>
      </w:r>
      <w:r>
        <w:rPr>
          <w:rFonts w:eastAsia="Times New Roman" w:cs="Times New Roman"/>
          <w:i/>
          <w:color w:val="auto"/>
          <w:kern w:val="0"/>
          <w:sz w:val="24"/>
          <w:szCs w:val="28"/>
          <w:lang w:val="ru-RU" w:eastAsia="ru-RU" w:bidi="ar-SA"/>
        </w:rPr>
        <w:t xml:space="preserve"> кодекс Российской Федерации</w:t>
      </w:r>
      <w:r>
        <w:rPr>
          <w:i/>
          <w:szCs w:val="28"/>
        </w:rPr>
        <w:t xml:space="preserve">, Федеральный закон от </w:t>
      </w:r>
      <w:r>
        <w:rPr>
          <w:rFonts w:eastAsia="Times New Roman" w:cs="Times New Roman"/>
          <w:i/>
          <w:color w:val="auto"/>
          <w:kern w:val="0"/>
          <w:sz w:val="24"/>
          <w:szCs w:val="28"/>
          <w:lang w:val="ru-RU" w:eastAsia="ru-RU" w:bidi="ar-SA"/>
        </w:rPr>
        <w:t>06.10.2003</w:t>
      </w:r>
      <w:r>
        <w:rPr>
          <w:i/>
          <w:szCs w:val="28"/>
        </w:rPr>
        <w:t xml:space="preserve"> г. № 131-ФЗ «Об общих принципах организации местного самоуправления в Российской Федерации » ,Федеральный закон от </w:t>
      </w:r>
      <w:r>
        <w:rPr>
          <w:rFonts w:eastAsia="Times New Roman" w:cs="Times New Roman"/>
          <w:i/>
          <w:color w:val="auto"/>
          <w:kern w:val="0"/>
          <w:sz w:val="24"/>
          <w:szCs w:val="28"/>
          <w:lang w:val="ru-RU" w:eastAsia="ru-RU" w:bidi="ar-SA"/>
        </w:rPr>
        <w:t>31.07.2020</w:t>
      </w:r>
      <w:r>
        <w:rPr>
          <w:i/>
          <w:szCs w:val="28"/>
        </w:rPr>
        <w:t xml:space="preserve"> №</w:t>
      </w:r>
      <w:r>
        <w:rPr>
          <w:rFonts w:eastAsia="Times New Roman" w:cs="Times New Roman"/>
          <w:i/>
          <w:color w:val="auto"/>
          <w:kern w:val="0"/>
          <w:sz w:val="24"/>
          <w:szCs w:val="28"/>
          <w:lang w:val="ru-RU" w:eastAsia="ru-RU" w:bidi="ar-SA"/>
        </w:rPr>
        <w:t>248</w:t>
      </w:r>
      <w:r>
        <w:rPr>
          <w:i/>
          <w:szCs w:val="28"/>
        </w:rPr>
        <w:t>-ФЗ «О государственном контроле (надзоре) и муниципальном контроле в Российской Федерации».</w:t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2"/>
        <w:gridCol w:w="2693"/>
        <w:gridCol w:w="1844"/>
        <w:gridCol w:w="1699"/>
      </w:tblGrid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Принятие решения Совета народных депутатов Верхнехавского муниципального района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Воронежской области</w:t>
            </w:r>
            <w:r>
              <w:rPr>
                <w:rFonts w:eastAsia="Calibri"/>
                <w:bCs/>
                <w:i/>
                <w:sz w:val="22"/>
                <w:szCs w:val="22"/>
              </w:rPr>
              <w:t xml:space="preserve"> «Об утверждении Положения о муниципальном </w:t>
            </w:r>
            <w:r>
              <w:rPr>
                <w:rFonts w:eastAsia="Calibri" w:cs="Times New Roman"/>
                <w:bCs/>
                <w:i/>
                <w:color w:val="auto"/>
                <w:kern w:val="0"/>
                <w:sz w:val="22"/>
                <w:szCs w:val="22"/>
                <w:lang w:val="ru-RU" w:eastAsia="ru-RU" w:bidi="ar-SA"/>
              </w:rPr>
              <w:t>жилищном</w:t>
            </w:r>
            <w:r>
              <w:rPr>
                <w:rFonts w:eastAsia="Calibri"/>
                <w:bCs/>
                <w:i/>
                <w:sz w:val="22"/>
                <w:szCs w:val="22"/>
              </w:rPr>
              <w:t xml:space="preserve"> контроле на территории Верхнехавского муниципального района Воронежской области».</w:t>
            </w:r>
          </w:p>
          <w:p>
            <w:pPr>
              <w:pStyle w:val="Normal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color w:val="FF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/>
                <w:i/>
                <w:i/>
              </w:rPr>
            </w:pPr>
            <w:r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  <w:t>Юридические лица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  <w:t>Физические лица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2" w:name="Par148"/>
      <w:bookmarkEnd w:id="2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  <w:bookmarkStart w:id="3" w:name="Par139"/>
      <w:bookmarkStart w:id="4" w:name="Par139"/>
      <w:bookmarkEnd w:id="4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Субъекты малого и среднего предпринимательства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Юридические лица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Физические лица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отсутствует.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решения </w:t>
      </w:r>
      <w:r>
        <w:rPr>
          <w:rFonts w:eastAsia="Calibri"/>
          <w:i/>
        </w:rPr>
        <w:t>считается целесообразным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с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даты его официального опубликования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за исключением пункта 6.2 раздела 6 Положения о муниципальном жилищном контроле на территории Верхнехавского муниципального района Воронежской области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.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Пункт 6.2 раздела 6 Положения о муниципальном жилищном контроле на территории Верхнехавского муниципального района Воронежской области вступает в силу с 01.09.2025г.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___________________________________________________.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__ из них учтено: полностью: __ , частично: 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character" w:styleId="1">
    <w:name w:val="Заголовок 1 Знак"/>
    <w:qFormat/>
    <w:rPr>
      <w:rFonts w:ascii="XO Thames" w:hAnsi="XO Thames" w:eastAsia="Times New Roman" w:cs="XO Thames"/>
      <w:b/>
      <w:sz w:val="32"/>
      <w:szCs w:val="20"/>
      <w:lang w:eastAsia="ru-RU"/>
    </w:rPr>
  </w:style>
  <w:style w:type="character" w:styleId="2">
    <w:name w:val="Заголовок 2 Знак"/>
    <w:qFormat/>
    <w:rPr>
      <w:rFonts w:ascii="XO Thames" w:hAnsi="XO Thames" w:eastAsia="Times New Roman" w:cs="XO Thames"/>
      <w:b/>
      <w:color w:val="00A0FF"/>
      <w:sz w:val="26"/>
      <w:szCs w:val="20"/>
      <w:lang w:eastAsia="ru-RU"/>
    </w:rPr>
  </w:style>
  <w:style w:type="character" w:styleId="3">
    <w:name w:val="Заголовок 3 Знак"/>
    <w:qFormat/>
    <w:rPr>
      <w:rFonts w:ascii="XO Thames" w:hAnsi="XO Thames" w:eastAsia="Times New Roman" w:cs="XO Thames"/>
      <w:b/>
      <w:i/>
      <w:sz w:val="20"/>
      <w:szCs w:val="20"/>
      <w:lang w:eastAsia="ru-RU"/>
    </w:rPr>
  </w:style>
  <w:style w:type="character" w:styleId="4">
    <w:name w:val="Заголовок 4 Знак"/>
    <w:qFormat/>
    <w:rPr>
      <w:rFonts w:ascii="XO Thames" w:hAnsi="XO Thames" w:eastAsia="Times New Roman" w:cs="XO Thames"/>
      <w:b/>
      <w:color w:val="595959"/>
      <w:sz w:val="26"/>
      <w:szCs w:val="20"/>
      <w:lang w:eastAsia="ru-RU"/>
    </w:rPr>
  </w:style>
  <w:style w:type="character" w:styleId="5">
    <w:name w:val="Заголовок 5 Знак"/>
    <w:qFormat/>
    <w:rPr>
      <w:rFonts w:ascii="XO Thames" w:hAnsi="XO Thames" w:eastAsia="Times New Roman" w:cs="XO Thames"/>
      <w:b/>
      <w:szCs w:val="20"/>
      <w:lang w:eastAsia="ru-RU"/>
    </w:rPr>
  </w:style>
  <w:style w:type="character" w:styleId="11">
    <w:name w:val="Обычный1"/>
    <w:qFormat/>
    <w:rPr>
      <w:rFonts w:ascii="Arial" w:hAnsi="Arial" w:cs="Arial"/>
      <w:sz w:val="20"/>
    </w:rPr>
  </w:style>
  <w:style w:type="character" w:styleId="21">
    <w:name w:val="Оглавление 2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41">
    <w:name w:val="Оглавление 4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Style15">
    <w:name w:val="Нижний колонтитул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">
    <w:name w:val="Оглавление 6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7">
    <w:name w:val="Оглавление 7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Normal1">
    <w:name w:val="ConsPlusNormal1"/>
    <w:qFormat/>
    <w:rPr>
      <w:rFonts w:ascii="Times New Roman" w:hAnsi="Times New Roman" w:eastAsia="Times New Roman" w:cs="Times New Roman"/>
      <w:sz w:val="24"/>
      <w:lang w:eastAsia="ru-RU"/>
    </w:rPr>
  </w:style>
  <w:style w:type="character" w:styleId="31">
    <w:name w:val="Оглавление 3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FootnoteCharacters">
    <w:name w:val="Footnote Characters"/>
    <w:qFormat/>
    <w:rPr>
      <w:rFonts w:ascii="Calibri" w:hAnsi="Calibri" w:eastAsia="Times New Roman" w:cs="Calibri"/>
      <w:sz w:val="20"/>
      <w:szCs w:val="20"/>
      <w:vertAlign w:val="superscript"/>
      <w:lang w:val="ru-RU" w:eastAsia="ru-RU"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20"/>
      <w:lang w:eastAsia="ru-RU"/>
    </w:rPr>
  </w:style>
  <w:style w:type="character" w:styleId="Style17">
    <w:name w:val="Абзац списка Знак"/>
    <w:qFormat/>
    <w:rPr>
      <w:rFonts w:ascii="Arial" w:hAnsi="Arial" w:eastAsia="Times New Roman" w:cs="Arial"/>
      <w:sz w:val="20"/>
      <w:szCs w:val="20"/>
      <w:lang w:val="ru-RU" w:eastAsia="ru-RU"/>
    </w:rPr>
  </w:style>
  <w:style w:type="character" w:styleId="Footnote1">
    <w:name w:val="Footnote1"/>
    <w:qFormat/>
    <w:rPr>
      <w:rFonts w:ascii="Arial" w:hAnsi="Arial" w:eastAsia="Times New Roman" w:cs="Arial"/>
      <w:sz w:val="20"/>
      <w:szCs w:val="20"/>
      <w:lang w:val="ru-RU" w:eastAsia="ru-RU"/>
    </w:rPr>
  </w:style>
  <w:style w:type="character" w:styleId="12">
    <w:name w:val="Оглавление 1 Знак"/>
    <w:qFormat/>
    <w:rPr>
      <w:rFonts w:ascii="XO Thames" w:hAnsi="XO Thames" w:eastAsia="Times New Roman" w:cs="XO Thames"/>
      <w:b/>
      <w:sz w:val="20"/>
      <w:szCs w:val="20"/>
      <w:lang w:val="ru-RU" w:eastAsia="ru-RU"/>
    </w:rPr>
  </w:style>
  <w:style w:type="character" w:styleId="HeaderandFooter1">
    <w:name w:val="Header and Footer1"/>
    <w:qFormat/>
    <w:rPr>
      <w:rFonts w:ascii="XO Thames" w:hAnsi="XO Thames" w:eastAsia="Calibri" w:cs="XO Thames"/>
      <w:color w:val="000000"/>
      <w:lang w:eastAsia="ru-RU"/>
    </w:rPr>
  </w:style>
  <w:style w:type="character" w:styleId="9">
    <w:name w:val="Оглавление 9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8">
    <w:name w:val="Оглавление 8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Nonformat1">
    <w:name w:val="ConsPlusNonformat1"/>
    <w:qFormat/>
    <w:rPr>
      <w:rFonts w:ascii="Courier New" w:hAnsi="Courier New" w:eastAsia="Calibri" w:cs="Courier New"/>
      <w:color w:val="000000"/>
      <w:lang w:eastAsia="ru-RU"/>
    </w:rPr>
  </w:style>
  <w:style w:type="character" w:styleId="32">
    <w:name w:val="Основной текст с отступом 3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>
    <w:name w:val="Оглавление 5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Cell1">
    <w:name w:val="ConsPlusCell1"/>
    <w:qFormat/>
    <w:rPr>
      <w:rFonts w:ascii="Courier New" w:hAnsi="Courier New" w:eastAsia="Calibri" w:cs="Courier New"/>
      <w:color w:val="000000"/>
      <w:lang w:eastAsia="ru-RU"/>
    </w:rPr>
  </w:style>
  <w:style w:type="character" w:styleId="Style18">
    <w:name w:val="Верхний колонтитул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9">
    <w:name w:val="Подзаголовок Знак"/>
    <w:qFormat/>
    <w:rPr>
      <w:rFonts w:ascii="XO Thames" w:hAnsi="XO Thames" w:eastAsia="Times New Roman" w:cs="XO Thames"/>
      <w:i/>
      <w:color w:val="616161"/>
      <w:szCs w:val="20"/>
      <w:lang w:eastAsia="ru-RU"/>
    </w:rPr>
  </w:style>
  <w:style w:type="character" w:styleId="Toc101">
    <w:name w:val="toc 101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Style20">
    <w:name w:val="Название Знак"/>
    <w:qFormat/>
    <w:rPr>
      <w:rFonts w:ascii="XO Thames" w:hAnsi="XO Thames" w:eastAsia="Times New Roman" w:cs="XO Thames"/>
      <w:b/>
      <w:sz w:val="52"/>
      <w:szCs w:val="20"/>
      <w:lang w:eastAsia="ru-RU"/>
    </w:rPr>
  </w:style>
  <w:style w:type="character" w:styleId="ConsPlusTitle1">
    <w:name w:val="ConsPlusTitle1"/>
    <w:qFormat/>
    <w:rPr>
      <w:rFonts w:ascii="Times New Roman" w:hAnsi="Times New Roman" w:eastAsia="Times New Roman" w:cs="Times New Roman"/>
      <w:b/>
      <w:sz w:val="24"/>
      <w:lang w:eastAsia="ru-RU"/>
    </w:rPr>
  </w:style>
  <w:style w:type="character" w:styleId="Style21">
    <w:name w:val="Текст сноски Знак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UnresolvedMention">
    <w:name w:val="Unresolved Mention"/>
    <w:qFormat/>
    <w:rPr>
      <w:rFonts w:eastAsia="Times New Roman"/>
      <w:color w:val="605E5C"/>
      <w:shd w:fill="E1DFDD" w:val="clear"/>
    </w:rPr>
  </w:style>
  <w:style w:type="character" w:styleId="Annotationreference">
    <w:name w:val="annotation reference"/>
    <w:qFormat/>
    <w:rPr>
      <w:rFonts w:eastAsia="Times New Roman"/>
      <w:szCs w:val="16"/>
    </w:rPr>
  </w:style>
  <w:style w:type="character" w:styleId="Style22">
    <w:name w:val="Текст примечания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23">
    <w:name w:val="Тема примечания Знак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HTML">
    <w:name w:val="Стандартный HTML Знак"/>
    <w:qFormat/>
    <w:rPr>
      <w:rFonts w:ascii="Courier New" w:hAnsi="Courier New" w:eastAsia="Courier New" w:cs="Courier New"/>
      <w:sz w:val="20"/>
      <w:szCs w:val="20"/>
      <w:lang w:eastAsia="ru-RU"/>
    </w:rPr>
  </w:style>
  <w:style w:type="character" w:styleId="Style24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3">
    <w:name w:val="Основной шрифт абзаца1"/>
    <w:qFormat/>
    <w:rPr/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1">
    <w:name w:val="Основной шрифт абзаца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000000"/>
      <w:kern w:val="2"/>
      <w:sz w:val="24"/>
      <w:szCs w:val="20"/>
      <w:lang w:val="ru-RU" w:eastAsia="hi-IN" w:bidi="hi-IN"/>
    </w:rPr>
  </w:style>
  <w:style w:type="paragraph" w:styleId="14">
    <w:name w:val="Знак сноски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Times New Roman" w:cs="Arial"/>
      <w:color w:val="auto"/>
      <w:kern w:val="2"/>
      <w:sz w:val="20"/>
      <w:szCs w:val="20"/>
      <w:vertAlign w:val="superscript"/>
      <w:lang w:val="ru-RU" w:eastAsia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color w:val="000000"/>
      <w:sz w:val="16"/>
    </w:rPr>
  </w:style>
  <w:style w:type="paragraph" w:styleId="15">
    <w:name w:val="Гиперссылка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Times New Roman" w:cs="Arial"/>
      <w:color w:val="0000FF"/>
      <w:kern w:val="2"/>
      <w:sz w:val="20"/>
      <w:szCs w:val="20"/>
      <w:u w:val="single"/>
      <w:lang w:val="ru-RU" w:eastAsia="ru-RU" w:bidi="hi-IN"/>
    </w:rPr>
  </w:style>
  <w:style w:type="paragraph" w:styleId="Footnote">
    <w:name w:val="Footnote"/>
    <w:basedOn w:val="Normal"/>
    <w:qFormat/>
    <w:pPr/>
    <w:rPr>
      <w:color w:val="000000"/>
    </w:rPr>
  </w:style>
  <w:style w:type="paragraph" w:styleId="BodyTextIndent3">
    <w:name w:val="Body Text Indent 3"/>
    <w:basedOn w:val="Normal"/>
    <w:qFormat/>
    <w:pPr>
      <w:ind w:hanging="1418" w:left="1418"/>
      <w:jc w:val="both"/>
    </w:pPr>
    <w:rPr>
      <w:rFonts w:ascii="Times New Roman" w:hAnsi="Times New Roman" w:cs="Times New Roman"/>
      <w:color w:val="000000"/>
      <w:sz w:val="28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Liberation Serif"/>
      <w:color w:val="000000"/>
      <w:kern w:val="2"/>
      <w:sz w:val="24"/>
      <w:szCs w:val="24"/>
      <w:lang w:val="ru-RU" w:eastAsia="hi-IN" w:bidi="hi-IN"/>
    </w:rPr>
  </w:style>
  <w:style w:type="paragraph" w:styleId="Toc10">
    <w:name w:val="toc 10"/>
    <w:qFormat/>
    <w:pPr>
      <w:widowControl/>
      <w:suppressAutoHyphens w:val="true"/>
      <w:bidi w:val="0"/>
      <w:spacing w:lineRule="auto" w:line="276" w:before="0" w:after="200"/>
      <w:ind w:left="1800"/>
      <w:jc w:val="left"/>
    </w:pPr>
    <w:rPr>
      <w:rFonts w:ascii="Calibri" w:hAnsi="Calibri" w:eastAsia="Times New Roman" w:cs="Liberation Serif"/>
      <w:color w:val="000000"/>
      <w:kern w:val="2"/>
      <w:sz w:val="24"/>
      <w:szCs w:val="20"/>
      <w:lang w:val="ru-RU" w:eastAsia="hi-IN" w:bidi="hi-IN"/>
    </w:rPr>
  </w:style>
  <w:style w:type="paragraph" w:styleId="Annotationtext">
    <w:name w:val="annotation text"/>
    <w:basedOn w:val="Normal"/>
    <w:qFormat/>
    <w:pPr/>
    <w:rPr>
      <w:color w:val="000000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color w:val="auto"/>
      <w:kern w:val="2"/>
      <w:sz w:val="24"/>
      <w:szCs w:val="24"/>
      <w:lang w:val="ru-RU" w:eastAsia="ru-RU" w:bidi="hi-I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color w:val="000000"/>
    </w:rPr>
  </w:style>
  <w:style w:type="paragraph" w:styleId="Style29">
    <w:name w:val="Прижатый влево"/>
    <w:basedOn w:val="Normal"/>
    <w:qFormat/>
    <w:pPr/>
    <w:rPr>
      <w:color w:val="000000"/>
      <w:lang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onom-boguch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F2F9-A0EB-44C2-AA74-DFDEECD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LibreOffice/7.6.2.1$Windows_X86_64 LibreOffice_project/56f7684011345957bbf33a7ee678afaf4d2ba333</Application>
  <AppVersion>15.0000</AppVersion>
  <DocSecurity>0</DocSecurity>
  <Pages>4</Pages>
  <Words>1193</Words>
  <Characters>9882</Characters>
  <CharactersWithSpaces>11009</CharactersWithSpaces>
  <Paragraphs>84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dc:language>ru-RU</dc:language>
  <cp:lastModifiedBy/>
  <dcterms:modified xsi:type="dcterms:W3CDTF">2025-06-02T11:56:45Z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