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78" w:rsidRDefault="00DE580A">
      <w:pPr>
        <w:pStyle w:val="2"/>
        <w:jc w:val="center"/>
      </w:pPr>
      <w:r>
        <w:rPr>
          <w:noProof/>
        </w:rPr>
        <w:drawing>
          <wp:inline distT="0" distB="0" distL="0" distR="0">
            <wp:extent cx="393700" cy="499745"/>
            <wp:effectExtent l="0" t="0" r="0" b="0"/>
            <wp:docPr id="1" name="Рисунок 3" descr="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Ха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2252"/>
        <w:gridCol w:w="537"/>
        <w:gridCol w:w="1788"/>
        <w:gridCol w:w="534"/>
        <w:gridCol w:w="1437"/>
        <w:gridCol w:w="236"/>
        <w:gridCol w:w="2786"/>
      </w:tblGrid>
      <w:tr w:rsidR="00640E78">
        <w:tc>
          <w:tcPr>
            <w:tcW w:w="9570" w:type="dxa"/>
            <w:gridSpan w:val="7"/>
            <w:shd w:val="clear" w:color="auto" w:fill="auto"/>
          </w:tcPr>
          <w:p w:rsidR="00640E78" w:rsidRDefault="00DE580A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 ВЕРХНЕХАВСКОГО  </w:t>
            </w:r>
            <w:proofErr w:type="gramStart"/>
            <w:r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640E78" w:rsidRDefault="00DE580A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 ВОРОНЕЖСКОЙ  ОБЛАСТИ</w:t>
            </w:r>
          </w:p>
        </w:tc>
      </w:tr>
      <w:tr w:rsidR="00640E78">
        <w:tc>
          <w:tcPr>
            <w:tcW w:w="2267" w:type="dxa"/>
          </w:tcPr>
          <w:p w:rsidR="00640E78" w:rsidRDefault="00640E78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gridSpan w:val="5"/>
            <w:shd w:val="clear" w:color="auto" w:fill="auto"/>
          </w:tcPr>
          <w:p w:rsidR="00640E78" w:rsidRDefault="00DE580A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  <w:tc>
          <w:tcPr>
            <w:tcW w:w="2804" w:type="dxa"/>
          </w:tcPr>
          <w:p w:rsidR="00640E78" w:rsidRDefault="00640E78">
            <w:pPr>
              <w:widowControl w:val="0"/>
            </w:pPr>
          </w:p>
        </w:tc>
      </w:tr>
      <w:tr w:rsidR="00640E78">
        <w:tc>
          <w:tcPr>
            <w:tcW w:w="4606" w:type="dxa"/>
            <w:gridSpan w:val="3"/>
            <w:shd w:val="clear" w:color="auto" w:fill="auto"/>
          </w:tcPr>
          <w:p w:rsidR="005674C9" w:rsidRDefault="005674C9" w:rsidP="005674C9">
            <w:pPr>
              <w:widowControl w:val="0"/>
              <w:spacing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580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25.01.2</w:t>
            </w:r>
            <w:r w:rsidR="00DE580A">
              <w:rPr>
                <w:sz w:val="28"/>
                <w:szCs w:val="28"/>
              </w:rPr>
              <w:t>024 года №</w:t>
            </w:r>
            <w:r>
              <w:rPr>
                <w:sz w:val="28"/>
                <w:szCs w:val="28"/>
              </w:rPr>
              <w:t>46</w:t>
            </w:r>
          </w:p>
          <w:p w:rsidR="00640E78" w:rsidRDefault="00DE580A" w:rsidP="005674C9">
            <w:pPr>
              <w:widowControl w:val="0"/>
              <w:spacing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Верхняя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536" w:type="dxa"/>
          </w:tcPr>
          <w:p w:rsidR="00640E78" w:rsidRDefault="00640E78">
            <w:pPr>
              <w:widowControl w:val="0"/>
            </w:pPr>
          </w:p>
        </w:tc>
        <w:tc>
          <w:tcPr>
            <w:tcW w:w="1445" w:type="dxa"/>
          </w:tcPr>
          <w:p w:rsidR="00640E78" w:rsidRDefault="00640E78">
            <w:pPr>
              <w:widowControl w:val="0"/>
            </w:pPr>
          </w:p>
        </w:tc>
        <w:tc>
          <w:tcPr>
            <w:tcW w:w="179" w:type="dxa"/>
          </w:tcPr>
          <w:p w:rsidR="00640E78" w:rsidRDefault="00640E78">
            <w:pPr>
              <w:widowControl w:val="0"/>
            </w:pPr>
          </w:p>
        </w:tc>
        <w:tc>
          <w:tcPr>
            <w:tcW w:w="2804" w:type="dxa"/>
          </w:tcPr>
          <w:p w:rsidR="00640E78" w:rsidRDefault="00640E78">
            <w:pPr>
              <w:widowControl w:val="0"/>
            </w:pPr>
          </w:p>
        </w:tc>
      </w:tr>
      <w:tr w:rsidR="00640E78">
        <w:tc>
          <w:tcPr>
            <w:tcW w:w="5142" w:type="dxa"/>
            <w:gridSpan w:val="4"/>
            <w:shd w:val="clear" w:color="auto" w:fill="auto"/>
          </w:tcPr>
          <w:p w:rsidR="00640E78" w:rsidRDefault="00DE580A">
            <w:pPr>
              <w:widowControl w:val="0"/>
              <w:spacing w:before="240" w:afterAutospacing="1"/>
              <w:ind w:firstLine="54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порядка расходования средств иного межбюджетного трансферта на обеспечение выплат </w:t>
            </w:r>
            <w:r>
              <w:rPr>
                <w:sz w:val="28"/>
                <w:szCs w:val="28"/>
              </w:rPr>
              <w:t>ежемесячного денежного вознаграждения 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</w:t>
            </w:r>
            <w:r>
              <w:rPr>
                <w:sz w:val="28"/>
                <w:szCs w:val="28"/>
              </w:rPr>
              <w:t>ованные основные общеобразовательные программы.</w:t>
            </w:r>
          </w:p>
          <w:p w:rsidR="00640E78" w:rsidRDefault="00640E78">
            <w:pPr>
              <w:widowControl w:val="0"/>
              <w:spacing w:before="24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</w:tcPr>
          <w:p w:rsidR="00640E78" w:rsidRDefault="00640E78">
            <w:pPr>
              <w:widowControl w:val="0"/>
            </w:pPr>
          </w:p>
        </w:tc>
        <w:tc>
          <w:tcPr>
            <w:tcW w:w="179" w:type="dxa"/>
          </w:tcPr>
          <w:p w:rsidR="00640E78" w:rsidRDefault="00640E78">
            <w:pPr>
              <w:widowControl w:val="0"/>
            </w:pPr>
          </w:p>
        </w:tc>
        <w:tc>
          <w:tcPr>
            <w:tcW w:w="2804" w:type="dxa"/>
          </w:tcPr>
          <w:p w:rsidR="00640E78" w:rsidRDefault="00640E78">
            <w:pPr>
              <w:widowControl w:val="0"/>
            </w:pPr>
          </w:p>
        </w:tc>
      </w:tr>
      <w:tr w:rsidR="00640E78">
        <w:tc>
          <w:tcPr>
            <w:tcW w:w="9570" w:type="dxa"/>
            <w:gridSpan w:val="7"/>
            <w:shd w:val="clear" w:color="auto" w:fill="auto"/>
          </w:tcPr>
          <w:p w:rsidR="00640E78" w:rsidRDefault="00DE580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sz w:val="28"/>
                <w:szCs w:val="28"/>
              </w:rPr>
              <w:t>В соответствии с Бюджетным кодексом Российской Федерации, Законом Воронежской области от 25 декабря 2023 года № 137-ОЗ «Об областном бюджете на 2024 год и на плановый период 2025 и 2026 годов»,  Правилами предоставления и распределения иных межбюджетных тр</w:t>
            </w:r>
            <w:r>
              <w:rPr>
                <w:sz w:val="28"/>
                <w:szCs w:val="28"/>
              </w:rPr>
              <w:t>ансфертов из областного бюджета  бюджетам муниципальных образований Воронежской области на ежемесячное денежное  вознаграждение за классное руководство  педагогическим работникам муниципальных общеобразовательных организаций, утвержденных постановлением пр</w:t>
            </w:r>
            <w:r>
              <w:rPr>
                <w:sz w:val="28"/>
                <w:szCs w:val="28"/>
              </w:rPr>
              <w:t>авительства</w:t>
            </w:r>
            <w:proofErr w:type="gramEnd"/>
            <w:r>
              <w:rPr>
                <w:sz w:val="28"/>
                <w:szCs w:val="28"/>
              </w:rPr>
              <w:t xml:space="preserve"> Воронежской области от 22.07.2020 г. № 690, </w:t>
            </w:r>
            <w:r>
              <w:rPr>
                <w:sz w:val="27"/>
                <w:szCs w:val="27"/>
              </w:rPr>
              <w:t>постановлением</w:t>
            </w:r>
          </w:p>
          <w:p w:rsidR="00640E78" w:rsidRDefault="00DE580A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Верхнехавского муниципального района Воронежской области от 27.01.2014г. № 77 "Об утверждении муниципальной программы Верхнехавского муниципального района Воронежской обла</w:t>
            </w:r>
            <w:r>
              <w:rPr>
                <w:sz w:val="27"/>
                <w:szCs w:val="27"/>
              </w:rPr>
              <w:t>сти "Развитие образования</w:t>
            </w:r>
            <w:proofErr w:type="gramStart"/>
            <w:r>
              <w:rPr>
                <w:sz w:val="27"/>
                <w:szCs w:val="27"/>
              </w:rPr>
              <w:t>"(</w:t>
            </w:r>
            <w:proofErr w:type="gramEnd"/>
            <w:r>
              <w:rPr>
                <w:sz w:val="27"/>
                <w:szCs w:val="27"/>
              </w:rPr>
              <w:t xml:space="preserve">в редакции), </w:t>
            </w:r>
            <w:r>
              <w:rPr>
                <w:sz w:val="28"/>
                <w:szCs w:val="28"/>
              </w:rPr>
              <w:t>администрация Верхнехавского муниципального района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постановляет:</w:t>
            </w:r>
          </w:p>
        </w:tc>
      </w:tr>
      <w:tr w:rsidR="00640E78">
        <w:tc>
          <w:tcPr>
            <w:tcW w:w="2267" w:type="dxa"/>
          </w:tcPr>
          <w:p w:rsidR="00640E78" w:rsidRDefault="00640E78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640E78" w:rsidRDefault="00640E78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81" w:type="dxa"/>
            <w:gridSpan w:val="3"/>
            <w:shd w:val="clear" w:color="auto" w:fill="auto"/>
          </w:tcPr>
          <w:p w:rsidR="00640E78" w:rsidRDefault="00640E78">
            <w:pPr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9" w:type="dxa"/>
          </w:tcPr>
          <w:p w:rsidR="00640E78" w:rsidRDefault="00640E78">
            <w:pPr>
              <w:widowControl w:val="0"/>
            </w:pPr>
          </w:p>
        </w:tc>
        <w:tc>
          <w:tcPr>
            <w:tcW w:w="2804" w:type="dxa"/>
          </w:tcPr>
          <w:p w:rsidR="00640E78" w:rsidRDefault="00640E78">
            <w:pPr>
              <w:widowControl w:val="0"/>
            </w:pPr>
          </w:p>
        </w:tc>
      </w:tr>
      <w:tr w:rsidR="00640E78">
        <w:tc>
          <w:tcPr>
            <w:tcW w:w="9570" w:type="dxa"/>
            <w:gridSpan w:val="7"/>
            <w:shd w:val="clear" w:color="auto" w:fill="auto"/>
          </w:tcPr>
          <w:tbl>
            <w:tblPr>
              <w:tblW w:w="9354" w:type="dxa"/>
              <w:tblLayout w:type="fixed"/>
              <w:tblLook w:val="0000" w:firstRow="0" w:lastRow="0" w:firstColumn="0" w:lastColumn="0" w:noHBand="0" w:noVBand="0"/>
            </w:tblPr>
            <w:tblGrid>
              <w:gridCol w:w="9354"/>
            </w:tblGrid>
            <w:tr w:rsidR="00640E78">
              <w:tc>
                <w:tcPr>
                  <w:tcW w:w="9354" w:type="dxa"/>
                </w:tcPr>
                <w:p w:rsidR="00640E78" w:rsidRDefault="00DE580A">
                  <w:pPr>
                    <w:widowControl w:val="0"/>
                    <w:numPr>
                      <w:ilvl w:val="0"/>
                      <w:numId w:val="1"/>
                    </w:num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Утвердить прилагаемый Порядок расходования </w:t>
                  </w:r>
                  <w:r>
                    <w:rPr>
                      <w:sz w:val="28"/>
                      <w:szCs w:val="28"/>
                    </w:rPr>
                    <w:t xml:space="preserve">средств иного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межбюджетного трансферта из областного бюджета бюджету Верхнехавского муниципального </w:t>
                  </w:r>
                  <w:r>
                    <w:rPr>
                      <w:sz w:val="28"/>
                      <w:szCs w:val="28"/>
                    </w:rPr>
                    <w:t>района на обеспечение выплат ежемесячного денежного  вознаграждения за классное руководство  педагогическим работникам общеобразовательных организаций, реализующих   образовательные программы начального общего, основного общего и среднего общего образовани</w:t>
                  </w:r>
                  <w:r>
                    <w:rPr>
                      <w:sz w:val="28"/>
                      <w:szCs w:val="28"/>
                    </w:rPr>
                    <w:t>я, в том числе адаптированные основные общеобразовательные программы.</w:t>
                  </w:r>
                </w:p>
                <w:p w:rsidR="00640E78" w:rsidRDefault="00DE580A">
                  <w:pPr>
                    <w:widowControl w:val="0"/>
                    <w:numPr>
                      <w:ilvl w:val="0"/>
                      <w:numId w:val="1"/>
                    </w:numPr>
                    <w:spacing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Назначить отдел образования, физической культуры и спорта администрации Верхнехавского муниципального района Воронежской области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Хатунцев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С.И.) уполномоченным органом по расходованию </w:t>
                  </w:r>
                  <w:r>
                    <w:rPr>
                      <w:sz w:val="28"/>
                      <w:szCs w:val="28"/>
                    </w:rPr>
                    <w:t>ср</w:t>
                  </w:r>
                  <w:r>
                    <w:rPr>
                      <w:sz w:val="28"/>
                      <w:szCs w:val="28"/>
                    </w:rPr>
                    <w:t>едств иного межбюджетного трансферта из областного бюджета   бюджету Верхнехавского муниципального района на обеспечение выплат ежемесячного денежного  вознаграждения за классное руководство  педагогическим работникам общеобразовательных организаций,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>реали</w:t>
                  </w:r>
                  <w:r>
                    <w:rPr>
                      <w:sz w:val="28"/>
                      <w:szCs w:val="28"/>
                    </w:rPr>
                    <w:t>зующих   образовательные программы начального общего, основного общего и среднего общего образования, в том числе адаптированные основные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общеобразовательные программы.</w:t>
                  </w:r>
                </w:p>
                <w:p w:rsidR="00640E78" w:rsidRDefault="00DE580A">
                  <w:pPr>
                    <w:pStyle w:val="afe"/>
                    <w:widowControl w:val="0"/>
                    <w:numPr>
                      <w:ilvl w:val="0"/>
                      <w:numId w:val="1"/>
                    </w:numPr>
                    <w:spacing w:afterAutospacing="1" w:line="360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2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2"/>
                    </w:rPr>
                    <w:t xml:space="preserve"> исполнением настоящего постановления возложить на заместителя главы админис</w:t>
                  </w:r>
                  <w:r>
                    <w:rPr>
                      <w:sz w:val="28"/>
                      <w:szCs w:val="22"/>
                    </w:rPr>
                    <w:t>трации Верхнехавского муниципального района Воронежской области Л.В. Костинскую.</w:t>
                  </w:r>
                </w:p>
                <w:p w:rsidR="00640E78" w:rsidRDefault="00640E78">
                  <w:pPr>
                    <w:widowControl w:val="0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0E78" w:rsidRDefault="00640E78">
            <w:pPr>
              <w:widowControl w:val="0"/>
              <w:spacing w:line="360" w:lineRule="auto"/>
              <w:ind w:left="142"/>
              <w:jc w:val="both"/>
              <w:rPr>
                <w:sz w:val="28"/>
              </w:rPr>
            </w:pPr>
          </w:p>
        </w:tc>
      </w:tr>
      <w:tr w:rsidR="00640E78">
        <w:tc>
          <w:tcPr>
            <w:tcW w:w="9570" w:type="dxa"/>
            <w:gridSpan w:val="7"/>
            <w:shd w:val="clear" w:color="auto" w:fill="auto"/>
          </w:tcPr>
          <w:p w:rsidR="00640E78" w:rsidRDefault="00DE580A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640E78" w:rsidRDefault="00DE580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Верхнехавского муниципального района                                        П.И. Беляев</w:t>
            </w:r>
          </w:p>
        </w:tc>
      </w:tr>
    </w:tbl>
    <w:p w:rsidR="00640E78" w:rsidRDefault="00640E78">
      <w:pPr>
        <w:jc w:val="right"/>
        <w:rPr>
          <w:sz w:val="28"/>
          <w:szCs w:val="28"/>
        </w:rPr>
      </w:pPr>
    </w:p>
    <w:p w:rsidR="00640E78" w:rsidRDefault="00640E78">
      <w:pPr>
        <w:jc w:val="right"/>
        <w:rPr>
          <w:sz w:val="28"/>
          <w:szCs w:val="28"/>
        </w:rPr>
      </w:pPr>
    </w:p>
    <w:p w:rsidR="00640E78" w:rsidRDefault="00640E78">
      <w:pPr>
        <w:jc w:val="right"/>
        <w:rPr>
          <w:sz w:val="28"/>
          <w:szCs w:val="28"/>
        </w:rPr>
      </w:pPr>
    </w:p>
    <w:p w:rsidR="00640E78" w:rsidRDefault="00640E78">
      <w:pPr>
        <w:jc w:val="right"/>
        <w:rPr>
          <w:sz w:val="28"/>
          <w:szCs w:val="28"/>
        </w:rPr>
      </w:pPr>
    </w:p>
    <w:p w:rsidR="00640E78" w:rsidRDefault="00640E78">
      <w:pPr>
        <w:jc w:val="right"/>
        <w:rPr>
          <w:sz w:val="28"/>
          <w:szCs w:val="28"/>
        </w:rPr>
      </w:pPr>
    </w:p>
    <w:p w:rsidR="00640E78" w:rsidRDefault="00640E78">
      <w:pPr>
        <w:jc w:val="right"/>
        <w:rPr>
          <w:sz w:val="28"/>
          <w:szCs w:val="28"/>
        </w:rPr>
      </w:pPr>
    </w:p>
    <w:p w:rsidR="00640E78" w:rsidRDefault="00640E78">
      <w:pPr>
        <w:jc w:val="right"/>
        <w:rPr>
          <w:sz w:val="28"/>
          <w:szCs w:val="28"/>
        </w:rPr>
      </w:pPr>
    </w:p>
    <w:p w:rsidR="00640E78" w:rsidRDefault="00640E78">
      <w:pPr>
        <w:jc w:val="right"/>
        <w:rPr>
          <w:sz w:val="28"/>
          <w:szCs w:val="28"/>
        </w:rPr>
      </w:pPr>
    </w:p>
    <w:p w:rsidR="00640E78" w:rsidRDefault="00640E78">
      <w:pPr>
        <w:jc w:val="right"/>
        <w:rPr>
          <w:sz w:val="28"/>
          <w:szCs w:val="28"/>
        </w:rPr>
      </w:pPr>
    </w:p>
    <w:p w:rsidR="00640E78" w:rsidRDefault="00640E78">
      <w:pPr>
        <w:jc w:val="right"/>
        <w:rPr>
          <w:sz w:val="28"/>
          <w:szCs w:val="28"/>
        </w:rPr>
      </w:pPr>
    </w:p>
    <w:p w:rsidR="00640E78" w:rsidRDefault="00DE58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Утвержден</w:t>
      </w:r>
    </w:p>
    <w:p w:rsidR="00640E78" w:rsidRDefault="00DE58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40E78" w:rsidRDefault="00DE58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Верхнехавского муниципального</w:t>
      </w:r>
    </w:p>
    <w:p w:rsidR="00640E78" w:rsidRDefault="00DE5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района </w:t>
      </w:r>
    </w:p>
    <w:p w:rsidR="00640E78" w:rsidRDefault="00DE580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5674C9">
        <w:rPr>
          <w:sz w:val="28"/>
          <w:szCs w:val="28"/>
          <w:u w:val="single"/>
        </w:rPr>
        <w:t>25.01.</w:t>
      </w:r>
      <w:r>
        <w:rPr>
          <w:sz w:val="28"/>
          <w:szCs w:val="28"/>
          <w:u w:val="single"/>
        </w:rPr>
        <w:t>2024г.  N</w:t>
      </w:r>
      <w:r w:rsidR="005674C9">
        <w:rPr>
          <w:sz w:val="28"/>
          <w:szCs w:val="28"/>
          <w:u w:val="single"/>
        </w:rPr>
        <w:t>46</w:t>
      </w:r>
      <w:bookmarkStart w:id="0" w:name="_GoBack"/>
      <w:bookmarkEnd w:id="0"/>
      <w:r>
        <w:rPr>
          <w:sz w:val="28"/>
          <w:szCs w:val="28"/>
          <w:u w:val="single"/>
        </w:rPr>
        <w:t xml:space="preserve">   </w:t>
      </w:r>
    </w:p>
    <w:p w:rsidR="00640E78" w:rsidRDefault="00640E78">
      <w:pPr>
        <w:jc w:val="right"/>
        <w:rPr>
          <w:rFonts w:ascii="Arial" w:hAnsi="Arial" w:cs="Arial"/>
          <w:sz w:val="20"/>
          <w:szCs w:val="20"/>
        </w:rPr>
      </w:pPr>
    </w:p>
    <w:p w:rsidR="00640E78" w:rsidRDefault="00640E78">
      <w:pPr>
        <w:spacing w:after="200" w:line="276" w:lineRule="auto"/>
        <w:jc w:val="center"/>
        <w:rPr>
          <w:sz w:val="28"/>
          <w:szCs w:val="28"/>
        </w:rPr>
      </w:pPr>
    </w:p>
    <w:p w:rsidR="00640E78" w:rsidRDefault="00DE58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640E78" w:rsidRDefault="00DE580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расходования средств иного межбюджетного трансферта из областного бюджета   бюджету Верхнехавского муниципального района на обеспечение выплат ежемесячного денежного  вознаграждения за классное руководство  педагогическим работникам общеобразовательных орг</w:t>
      </w:r>
      <w:r>
        <w:rPr>
          <w:b/>
          <w:sz w:val="28"/>
          <w:szCs w:val="28"/>
        </w:rPr>
        <w:t>анизаций, реализующих  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</w:r>
    </w:p>
    <w:p w:rsidR="00640E78" w:rsidRDefault="00DE58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Иной межбюджетный трансферт из бюджета Воронежской области бюдж</w:t>
      </w:r>
      <w:r>
        <w:rPr>
          <w:rFonts w:ascii="Times New Roman CYR" w:hAnsi="Times New Roman CYR" w:cs="Times New Roman CYR"/>
          <w:sz w:val="28"/>
          <w:szCs w:val="28"/>
        </w:rPr>
        <w:t>ету Верхнехавского муниципального района имеющий целевое назначение на обеспечение выплат  ежемесячного денежного  вознаграждения за классное руководство  педагогическим работникам муниципальных общеобразовательных организаций, реализующих программы началь</w:t>
      </w:r>
      <w:r>
        <w:rPr>
          <w:rFonts w:ascii="Times New Roman CYR" w:hAnsi="Times New Roman CYR" w:cs="Times New Roman CYR"/>
          <w:sz w:val="28"/>
          <w:szCs w:val="28"/>
        </w:rPr>
        <w:t>ного, общего и среднего общего образования,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том числе адаптированные основные общеобразовательные программы, предоставляется  в пределах бюджетных ассигнований, предусмотренных в законе о бюджете Воронежской области на 2024 финансовый год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плановый пери</w:t>
      </w:r>
      <w:r>
        <w:rPr>
          <w:rFonts w:ascii="Times New Roman CYR" w:hAnsi="Times New Roman CYR" w:cs="Times New Roman CYR"/>
          <w:sz w:val="28"/>
          <w:szCs w:val="28"/>
        </w:rPr>
        <w:t>од 2025- 2026 годов, и лимитов бюджетных обязательств, доведенных получателю средств бюджета субъекта.</w:t>
      </w:r>
    </w:p>
    <w:p w:rsidR="00640E78" w:rsidRDefault="00DE58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Расходование средств иного межбюджетного трансферта осуществляется  по кодам  классификации расходов бюджета: </w:t>
      </w:r>
    </w:p>
    <w:p w:rsidR="00640E78" w:rsidRDefault="00DE580A">
      <w:pPr>
        <w:spacing w:line="360" w:lineRule="auto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8"/>
          <w:szCs w:val="28"/>
        </w:rPr>
        <w:t>раздел 0700, подраздел 0702 целевая статья</w:t>
      </w:r>
      <w:r>
        <w:rPr>
          <w:rFonts w:ascii="Times New Roman CYR" w:hAnsi="Times New Roman CYR" w:cs="Times New Roman CYR"/>
          <w:sz w:val="28"/>
          <w:szCs w:val="28"/>
        </w:rPr>
        <w:t xml:space="preserve"> 02 4 03 53030, вид расходов 111, 119 в рамках комплекса процессных мероприятий «Развитие системы поддержки и стимулирования педагогических работников» </w:t>
      </w:r>
      <w:r>
        <w:rPr>
          <w:sz w:val="27"/>
          <w:szCs w:val="27"/>
        </w:rPr>
        <w:t>муниципальной программы Верхнехавского муниципального района Воронежской области "Развитие образования",</w:t>
      </w:r>
      <w:r>
        <w:rPr>
          <w:sz w:val="27"/>
          <w:szCs w:val="27"/>
        </w:rPr>
        <w:t xml:space="preserve"> утвержденной постановлением администрации </w:t>
      </w:r>
      <w:r>
        <w:rPr>
          <w:sz w:val="27"/>
          <w:szCs w:val="27"/>
        </w:rPr>
        <w:lastRenderedPageBreak/>
        <w:t>Верхнехавского муниципального района Воронежской области от 27.01.2014г. № 77 (в редакции).</w:t>
      </w:r>
    </w:p>
    <w:p w:rsidR="00640E78" w:rsidRDefault="00DE58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Оплата денежных обязательств по расходам получателей средств местного бюджета осуществляется с единого счета бюджета Верх</w:t>
      </w:r>
      <w:r>
        <w:rPr>
          <w:rFonts w:ascii="Times New Roman CYR" w:hAnsi="Times New Roman CYR" w:cs="Times New Roman CYR"/>
          <w:sz w:val="28"/>
          <w:szCs w:val="28"/>
        </w:rPr>
        <w:t>нехавского муниципального района, открытого Финансовому отделу администрации Верхнехавского муниципального района Воронежской области в Территориальном управлении Федерального казначейства по Воронежской области, на основании предоставленных платежных доку</w:t>
      </w:r>
      <w:r>
        <w:rPr>
          <w:rFonts w:ascii="Times New Roman CYR" w:hAnsi="Times New Roman CYR" w:cs="Times New Roman CYR"/>
          <w:sz w:val="28"/>
          <w:szCs w:val="28"/>
        </w:rPr>
        <w:t>ментов:</w:t>
      </w:r>
    </w:p>
    <w:p w:rsidR="00640E78" w:rsidRDefault="00DE58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списков на перечисление выплат  ежемесячного денежного  вознаграждения за классное руководство  педагогическим работникам муниципальных общеобразовательных организаций; </w:t>
      </w:r>
    </w:p>
    <w:p w:rsidR="00640E78" w:rsidRDefault="00DE580A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 перечисление установленных трудовым законодательством Российской Федера</w:t>
      </w:r>
      <w:r>
        <w:rPr>
          <w:rFonts w:ascii="Times New Roman CYR" w:hAnsi="Times New Roman CYR" w:cs="Times New Roman CYR"/>
          <w:sz w:val="28"/>
          <w:szCs w:val="28"/>
        </w:rPr>
        <w:t xml:space="preserve">ции отчислений в фонд пенсионного и социального страхования Российской Федерации по Воронежской области. </w:t>
      </w:r>
    </w:p>
    <w:p w:rsidR="00640E78" w:rsidRDefault="00DE580A">
      <w:pPr>
        <w:spacing w:after="20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Уполномоченный  орган местного самоуправления, на которого возложены функции и ответственность за исполнение (координацию исполнения) расходов </w:t>
      </w:r>
      <w:r>
        <w:rPr>
          <w:sz w:val="28"/>
          <w:szCs w:val="28"/>
        </w:rPr>
        <w:t>средств иного межбюджетного трансферта - отдел образования, физической культуры и спорта администрации Верхнехавского муниципального района Воронежской области:</w:t>
      </w:r>
    </w:p>
    <w:p w:rsidR="00640E78" w:rsidRDefault="00DE580A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несет ответственность за нецелевое использование средств  иного межбюджетного трансферта на  </w:t>
      </w:r>
      <w:r>
        <w:rPr>
          <w:sz w:val="28"/>
          <w:szCs w:val="28"/>
        </w:rPr>
        <w:t>выплату  ежемесячного денежного  вознаграждения за классное руководство  педагогическим работникам муниципальных общеобразовательных организаций, недостоверность сведений, содержащихся в документах и отчетности, и нарушение сроков их представления в соотве</w:t>
      </w:r>
      <w:r>
        <w:rPr>
          <w:sz w:val="28"/>
          <w:szCs w:val="28"/>
        </w:rPr>
        <w:t>тствии с действующим законодательством;</w:t>
      </w:r>
    </w:p>
    <w:p w:rsidR="00640E78" w:rsidRDefault="00DE580A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 в Министерство образования Воронежской области документы и материалы, необходимые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 расходования иного межбюджетного трансферта, в том числе </w:t>
      </w:r>
      <w:r>
        <w:rPr>
          <w:sz w:val="28"/>
          <w:szCs w:val="28"/>
        </w:rPr>
        <w:lastRenderedPageBreak/>
        <w:t>данных бухгалтерс</w:t>
      </w:r>
      <w:r>
        <w:rPr>
          <w:sz w:val="28"/>
          <w:szCs w:val="28"/>
        </w:rPr>
        <w:t>кого учета и первичной документации, связанных с исполнением условий предоставления иного межбюджетного трансферта.</w:t>
      </w:r>
    </w:p>
    <w:p w:rsidR="00640E78" w:rsidRDefault="00DE580A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Не использованный по состоянию на 1 января финансового года, следующего за отчетным, остаток средств иного межбюджетного трансферта</w:t>
      </w:r>
      <w:r>
        <w:rPr>
          <w:sz w:val="28"/>
          <w:szCs w:val="28"/>
        </w:rPr>
        <w:t xml:space="preserve"> возвращается в бюджет Воронежской области  в сроки, установленные  бюджетным законодательством Российской Федерации. </w:t>
      </w:r>
      <w:proofErr w:type="gramEnd"/>
    </w:p>
    <w:p w:rsidR="00640E78" w:rsidRDefault="00640E78">
      <w:pPr>
        <w:rPr>
          <w:sz w:val="28"/>
          <w:szCs w:val="28"/>
        </w:rPr>
      </w:pPr>
    </w:p>
    <w:p w:rsidR="00640E78" w:rsidRDefault="00640E78">
      <w:pPr>
        <w:jc w:val="both"/>
        <w:rPr>
          <w:sz w:val="28"/>
          <w:szCs w:val="28"/>
        </w:rPr>
        <w:sectPr w:rsidR="00640E78">
          <w:headerReference w:type="default" r:id="rId9"/>
          <w:pgSz w:w="11906" w:h="16838"/>
          <w:pgMar w:top="1134" w:right="567" w:bottom="1134" w:left="1985" w:header="340" w:footer="0" w:gutter="0"/>
          <w:pgNumType w:start="1"/>
          <w:cols w:space="720"/>
          <w:formProt w:val="0"/>
          <w:titlePg/>
          <w:docGrid w:linePitch="326"/>
        </w:sectPr>
      </w:pPr>
      <w:bookmarkStart w:id="1" w:name="Par31"/>
      <w:bookmarkEnd w:id="1"/>
    </w:p>
    <w:p w:rsidR="00640E78" w:rsidRDefault="00640E78">
      <w:pPr>
        <w:jc w:val="right"/>
        <w:outlineLvl w:val="1"/>
        <w:rPr>
          <w:sz w:val="28"/>
          <w:szCs w:val="28"/>
        </w:rPr>
      </w:pPr>
    </w:p>
    <w:sectPr w:rsidR="00640E78">
      <w:headerReference w:type="default" r:id="rId10"/>
      <w:pgSz w:w="16838" w:h="11906" w:orient="landscape"/>
      <w:pgMar w:top="993" w:right="1134" w:bottom="567" w:left="1134" w:header="39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0A" w:rsidRDefault="00DE580A">
      <w:r>
        <w:separator/>
      </w:r>
    </w:p>
  </w:endnote>
  <w:endnote w:type="continuationSeparator" w:id="0">
    <w:p w:rsidR="00DE580A" w:rsidRDefault="00DE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0A" w:rsidRDefault="00DE580A">
      <w:r>
        <w:separator/>
      </w:r>
    </w:p>
  </w:footnote>
  <w:footnote w:type="continuationSeparator" w:id="0">
    <w:p w:rsidR="00DE580A" w:rsidRDefault="00DE5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78" w:rsidRDefault="00DE580A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674C9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  <w:p w:rsidR="00640E78" w:rsidRDefault="00640E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78" w:rsidRDefault="00DE580A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674C9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  <w:p w:rsidR="00640E78" w:rsidRDefault="00640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A3366"/>
    <w:multiLevelType w:val="multilevel"/>
    <w:tmpl w:val="0EE6CD34"/>
    <w:lvl w:ilvl="0">
      <w:start w:val="1"/>
      <w:numFmt w:val="decimal"/>
      <w:lvlText w:val="%1."/>
      <w:lvlJc w:val="left"/>
      <w:pPr>
        <w:tabs>
          <w:tab w:val="num" w:pos="0"/>
        </w:tabs>
        <w:ind w:left="5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abstractNum w:abstractNumId="1">
    <w:nsid w:val="6B100AFA"/>
    <w:multiLevelType w:val="multilevel"/>
    <w:tmpl w:val="854E6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E78"/>
    <w:rsid w:val="005674C9"/>
    <w:rsid w:val="00640E78"/>
    <w:rsid w:val="00D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C72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qFormat/>
    <w:rsid w:val="008903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903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3">
    <w:name w:val="Название Знак"/>
    <w:basedOn w:val="a0"/>
    <w:link w:val="a4"/>
    <w:uiPriority w:val="10"/>
    <w:qFormat/>
    <w:rsid w:val="0089030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89030D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qFormat/>
    <w:locked/>
    <w:rsid w:val="003A7DDA"/>
  </w:style>
  <w:style w:type="character" w:styleId="a9">
    <w:name w:val="page number"/>
    <w:basedOn w:val="a0"/>
    <w:uiPriority w:val="99"/>
    <w:qFormat/>
    <w:rsid w:val="00F711CC"/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89030D"/>
    <w:rPr>
      <w:sz w:val="24"/>
      <w:szCs w:val="24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89030D"/>
    <w:rPr>
      <w:sz w:val="20"/>
      <w:szCs w:val="20"/>
    </w:rPr>
  </w:style>
  <w:style w:type="character" w:styleId="ae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711CC"/>
    <w:rPr>
      <w:vertAlign w:val="superscript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qFormat/>
    <w:rsid w:val="0089030D"/>
    <w:rPr>
      <w:sz w:val="24"/>
      <w:szCs w:val="24"/>
    </w:rPr>
  </w:style>
  <w:style w:type="character" w:styleId="af1">
    <w:name w:val="Hyperlink"/>
    <w:basedOn w:val="a0"/>
    <w:uiPriority w:val="99"/>
    <w:rsid w:val="00F711CC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726433"/>
    <w:rPr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qFormat/>
    <w:locked/>
    <w:rsid w:val="00F80685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qFormat/>
    <w:rsid w:val="00F80685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C72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qFormat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f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sid w:val="00F711CC"/>
    <w:rPr>
      <w:sz w:val="28"/>
      <w:szCs w:val="28"/>
    </w:rPr>
  </w:style>
  <w:style w:type="paragraph" w:styleId="af6">
    <w:name w:val="List"/>
    <w:basedOn w:val="a6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8">
    <w:name w:val="index heading"/>
    <w:basedOn w:val="a"/>
    <w:qFormat/>
    <w:pPr>
      <w:suppressLineNumbers/>
    </w:pPr>
    <w:rPr>
      <w:rFonts w:cs="Mangal"/>
    </w:rPr>
  </w:style>
  <w:style w:type="paragraph" w:customStyle="1" w:styleId="af9">
    <w:name w:val="Знак Знак Знак Знак Знак Знак Знак Знак Знак Знак"/>
    <w:basedOn w:val="a"/>
    <w:uiPriority w:val="99"/>
    <w:qFormat/>
    <w:rsid w:val="00F711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a">
    <w:name w:val="Обычный.Название подразделения"/>
    <w:uiPriority w:val="99"/>
    <w:qFormat/>
    <w:rsid w:val="00F711CC"/>
    <w:rPr>
      <w:rFonts w:ascii="SchoolBook" w:hAnsi="SchoolBook" w:cs="SchoolBook"/>
      <w:sz w:val="28"/>
      <w:szCs w:val="28"/>
    </w:rPr>
  </w:style>
  <w:style w:type="paragraph" w:customStyle="1" w:styleId="afb">
    <w:name w:val="Вертикальный отступ"/>
    <w:basedOn w:val="a"/>
    <w:uiPriority w:val="99"/>
    <w:qFormat/>
    <w:rsid w:val="00F711CC"/>
    <w:pPr>
      <w:jc w:val="center"/>
    </w:pPr>
    <w:rPr>
      <w:sz w:val="28"/>
      <w:szCs w:val="28"/>
      <w:lang w:val="en-US"/>
    </w:rPr>
  </w:style>
  <w:style w:type="paragraph" w:styleId="a4">
    <w:name w:val="Title"/>
    <w:basedOn w:val="a"/>
    <w:link w:val="a3"/>
    <w:uiPriority w:val="99"/>
    <w:qFormat/>
    <w:rsid w:val="00F711CC"/>
    <w:pPr>
      <w:ind w:firstLine="720"/>
      <w:jc w:val="center"/>
    </w:pPr>
    <w:rPr>
      <w:b/>
      <w:bCs/>
      <w:sz w:val="28"/>
      <w:szCs w:val="28"/>
    </w:rPr>
  </w:style>
  <w:style w:type="paragraph" w:customStyle="1" w:styleId="afc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ab">
    <w:name w:val="footer"/>
    <w:basedOn w:val="a"/>
    <w:link w:val="aa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onsNormal">
    <w:name w:val="ConsNormal"/>
    <w:uiPriority w:val="99"/>
    <w:qFormat/>
    <w:rsid w:val="00F711CC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c"/>
    <w:uiPriority w:val="99"/>
    <w:semiHidden/>
    <w:rsid w:val="00F711CC"/>
    <w:rPr>
      <w:sz w:val="20"/>
      <w:szCs w:val="20"/>
    </w:rPr>
  </w:style>
  <w:style w:type="paragraph" w:styleId="afd">
    <w:name w:val="Normal (Web)"/>
    <w:basedOn w:val="a"/>
    <w:uiPriority w:val="99"/>
    <w:qFormat/>
    <w:rsid w:val="00F711CC"/>
    <w:pPr>
      <w:spacing w:beforeAutospacing="1" w:afterAutospacing="1"/>
    </w:pPr>
  </w:style>
  <w:style w:type="paragraph" w:styleId="af0">
    <w:name w:val="Body Text Indent"/>
    <w:basedOn w:val="a"/>
    <w:link w:val="af"/>
    <w:uiPriority w:val="99"/>
    <w:rsid w:val="00F711CC"/>
    <w:pPr>
      <w:spacing w:after="120"/>
      <w:ind w:left="283"/>
    </w:pPr>
  </w:style>
  <w:style w:type="paragraph" w:customStyle="1" w:styleId="ConsPlusNormal">
    <w:name w:val="ConsPlusNormal"/>
    <w:uiPriority w:val="99"/>
    <w:qFormat/>
    <w:rsid w:val="00F711CC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qFormat/>
    <w:rsid w:val="00C3354C"/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1"/>
    <w:basedOn w:val="a"/>
    <w:uiPriority w:val="99"/>
    <w:qFormat/>
    <w:rsid w:val="004104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qFormat/>
    <w:rsid w:val="00463572"/>
    <w:pPr>
      <w:widowControl w:val="0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Indent 2"/>
    <w:basedOn w:val="a"/>
    <w:link w:val="21"/>
    <w:uiPriority w:val="99"/>
    <w:qFormat/>
    <w:rsid w:val="00726433"/>
    <w:pPr>
      <w:spacing w:after="120" w:line="480" w:lineRule="auto"/>
      <w:ind w:left="283"/>
    </w:pPr>
  </w:style>
  <w:style w:type="paragraph" w:styleId="af3">
    <w:name w:val="Balloon Text"/>
    <w:basedOn w:val="a"/>
    <w:link w:val="af2"/>
    <w:uiPriority w:val="99"/>
    <w:semiHidden/>
    <w:qFormat/>
    <w:rsid w:val="00F80685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99"/>
    <w:qFormat/>
    <w:rsid w:val="001F2E07"/>
    <w:pPr>
      <w:ind w:left="720"/>
    </w:pPr>
  </w:style>
  <w:style w:type="table" w:styleId="aff">
    <w:name w:val="Table Grid"/>
    <w:basedOn w:val="a1"/>
    <w:uiPriority w:val="99"/>
    <w:rsid w:val="003342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1008</Words>
  <Characters>5748</Characters>
  <Application>Microsoft Office Word</Application>
  <DocSecurity>0</DocSecurity>
  <Lines>47</Lines>
  <Paragraphs>13</Paragraphs>
  <ScaleCrop>false</ScaleCrop>
  <Company>gfu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subject/>
  <dc:creator>obp_znn</dc:creator>
  <dc:description/>
  <cp:lastModifiedBy>Попова Валентина Олеговна</cp:lastModifiedBy>
  <cp:revision>77</cp:revision>
  <cp:lastPrinted>2024-01-26T08:28:00Z</cp:lastPrinted>
  <dcterms:created xsi:type="dcterms:W3CDTF">2024-01-31T08:25:00Z</dcterms:created>
  <dcterms:modified xsi:type="dcterms:W3CDTF">2024-01-31T08:25:00Z</dcterms:modified>
  <dc:language>ru-RU</dc:language>
</cp:coreProperties>
</file>