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проект нормативного правового акта: 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Решение СНД 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 xml:space="preserve">«Об утверждении </w:t>
      </w:r>
      <w:r>
        <w:rPr>
          <w:rStyle w:val="1"/>
          <w:rFonts w:eastAsia="Times New Roman" w:cs="Times New Roman" w:ascii="Times New Roman" w:hAnsi="Times New Roman"/>
          <w:bCs/>
          <w:i/>
          <w:iCs/>
          <w:spacing w:val="3"/>
          <w:kern w:val="2"/>
          <w:sz w:val="28"/>
          <w:szCs w:val="28"/>
          <w:lang w:val="ru-RU"/>
        </w:rPr>
        <w:t xml:space="preserve">Положения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 xml:space="preserve">о </w:t>
      </w:r>
      <w:r>
        <w:rPr>
          <w:rStyle w:val="1"/>
          <w:rFonts w:eastAsia="Times New Roman" w:cs="Times New Roman" w:ascii="Times New Roman" w:hAnsi="Times New Roman"/>
          <w:i/>
          <w:iCs/>
          <w:color w:val="auto"/>
          <w:spacing w:val="3"/>
          <w:kern w:val="2"/>
          <w:sz w:val="28"/>
          <w:szCs w:val="28"/>
          <w:lang w:val="ru-RU" w:eastAsia="en-US" w:bidi="ar-SA"/>
        </w:rPr>
        <w:t>муниципальном жилищном контроле на территории Верхнехавского муниципального района Воронежской области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>»</w:t>
      </w:r>
    </w:p>
    <w:p>
      <w:pPr>
        <w:pStyle w:val="Normal"/>
        <w:ind w:hanging="0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администрации Верхнехавского муниципального района Воронежской области от 15.09.2023 г. № 559, рассмотрел проект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решения СНД Верхнехавского муниципального района Воронежской области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«Об утверждении П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оложения о муниципальном жилищном контроле на территории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Верхнехавского муниципального района Воронежской области»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решения разработан в связи с необходимостью формирования нормативно-правовой базы, регламентирующей полномочия по проведению контрольных мероприятий, определяющей виды контрольных мероприятий, профилактических мероприятий, устанавливающей индикаторы риска, содержащей положения по урегулированию взаимодействия администрации Верхнехавского муниципального района и контролируемых лиц при осуществлении муниципального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жилищного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контроля.</w:t>
      </w:r>
    </w:p>
    <w:p>
      <w:pPr>
        <w:pStyle w:val="Normal"/>
        <w:spacing w:lineRule="auto" w:line="276" w:before="0" w:after="0"/>
        <w:ind w:hanging="0" w:left="0" w:righ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 xml:space="preserve">Проектом предполагается создание Положения о муниципальном </w:t>
      </w:r>
      <w:r>
        <w:rPr>
          <w:rFonts w:eastAsia="Calibri" w:cs="" w:ascii="Times New Roman" w:hAnsi="Times New Roman" w:cstheme="minorBidi" w:eastAsiaTheme="minorHAnsi"/>
          <w:color w:val="000000"/>
          <w:kern w:val="0"/>
          <w:sz w:val="28"/>
          <w:szCs w:val="28"/>
          <w:shd w:fill="auto" w:val="clear"/>
          <w:lang w:val="ru-RU" w:eastAsia="en-US" w:bidi="ar-SA"/>
        </w:rPr>
        <w:t>жилищном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контроле на территории Верхнехавского муниципального района</w:t>
      </w:r>
      <w:r>
        <w:rPr>
          <w:rStyle w:val="FontStyle14"/>
          <w:spacing w:val="0"/>
          <w:sz w:val="28"/>
          <w:szCs w:val="28"/>
          <w:shd w:fill="auto" w:val="clear"/>
        </w:rPr>
        <w:t>, которое определяет:</w:t>
      </w:r>
    </w:p>
    <w:p>
      <w:pPr>
        <w:pStyle w:val="Normal"/>
        <w:spacing w:lineRule="auto" w:line="276" w:before="0" w:after="0"/>
        <w:ind w:hanging="0" w:left="0" w:right="0"/>
        <w:contextualSpacing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>контрольные органы, уполномоченные на осуществление муниципального контроля;</w:t>
      </w:r>
    </w:p>
    <w:p>
      <w:pPr>
        <w:pStyle w:val="Normal"/>
        <w:spacing w:lineRule="auto" w:line="276" w:before="0" w:after="0"/>
        <w:ind w:hanging="0" w:left="0" w:right="0"/>
        <w:contextualSpacing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 xml:space="preserve"> риски причинения вреда (ущерба)</w:t>
      </w:r>
      <w:r>
        <w:rPr>
          <w:rStyle w:val="FontStyle14"/>
          <w:spacing w:val="0"/>
          <w:sz w:val="28"/>
          <w:szCs w:val="28"/>
          <w:shd w:fill="auto" w:val="clear"/>
        </w:rPr>
        <w:t>;</w:t>
      </w:r>
    </w:p>
    <w:p>
      <w:pPr>
        <w:pStyle w:val="Normal"/>
        <w:spacing w:lineRule="auto" w:line="276" w:before="0" w:after="0"/>
        <w:ind w:hanging="0" w:left="0" w:right="0"/>
        <w:contextualSpacing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 xml:space="preserve"> профилактика рисков причинения вреда (ущерба) охраняемым законом ценностям;</w:t>
      </w:r>
    </w:p>
    <w:p>
      <w:pPr>
        <w:pStyle w:val="Normal"/>
        <w:spacing w:lineRule="auto" w:line="276" w:before="0" w:after="0"/>
        <w:ind w:hanging="0"/>
        <w:contextualSpacing/>
        <w:jc w:val="left"/>
        <w:rPr/>
      </w:pPr>
      <w:r>
        <w:rPr>
          <w:rStyle w:val="FontStyle14"/>
          <w:rFonts w:eastAsia="Times New Roman"/>
          <w:spacing w:val="0"/>
          <w:kern w:val="2"/>
          <w:sz w:val="28"/>
          <w:szCs w:val="28"/>
          <w:shd w:fill="auto" w:val="clear"/>
        </w:rPr>
        <w:t xml:space="preserve"> </w:t>
      </w:r>
      <w:r>
        <w:rPr>
          <w:rStyle w:val="FontStyle14"/>
          <w:rFonts w:eastAsia="Times New Roman"/>
          <w:spacing w:val="0"/>
          <w:kern w:val="2"/>
          <w:sz w:val="28"/>
          <w:szCs w:val="28"/>
          <w:shd w:fill="auto" w:val="clear"/>
        </w:rPr>
        <w:t>-</w:t>
      </w:r>
      <w:r>
        <w:rPr>
          <w:rStyle w:val="FontStyle14"/>
          <w:rFonts w:eastAsia="Times New Roman" w:cs="Times New Roman" w:ascii="Times New Roman" w:hAnsi="Times New Roman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контрольные мероприятия, проводимые в рамках муниципального контроля;</w:t>
      </w:r>
    </w:p>
    <w:p>
      <w:pPr>
        <w:pStyle w:val="Normal"/>
        <w:spacing w:lineRule="auto" w:line="276" w:before="0" w:after="0"/>
        <w:ind w:hanging="0"/>
        <w:contextualSpacing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- досудебный порядок обжалования решений администрации обжалование;</w:t>
      </w:r>
    </w:p>
    <w:p>
      <w:pPr>
        <w:pStyle w:val="Normal"/>
        <w:spacing w:lineRule="auto" w:line="276" w:before="0" w:after="0"/>
        <w:ind w:hanging="0"/>
        <w:contextualSpacing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- ключевые показатели вида контроля и их целевые значения для муниципального контроля;</w:t>
      </w:r>
    </w:p>
    <w:p>
      <w:pPr>
        <w:pStyle w:val="Normal"/>
        <w:spacing w:lineRule="auto" w:line="276" w:before="0" w:after="0"/>
        <w:ind w:hanging="0"/>
        <w:contextualSpacing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- иные вопросы, регулирование которых в соответствии с Федеральным законом осуществляется положением о виде контроля.</w:t>
      </w:r>
    </w:p>
    <w:p>
      <w:pPr>
        <w:pStyle w:val="Normal"/>
        <w:spacing w:lineRule="auto" w:line="276" w:before="0" w:after="0"/>
        <w:ind w:hanging="0"/>
        <w:jc w:val="both"/>
        <w:rPr>
          <w:rFonts w:eastAsia="Times New Roman"/>
          <w:spacing w:val="0"/>
          <w:kern w:val="2"/>
          <w:sz w:val="28"/>
          <w:szCs w:val="28"/>
          <w:highlight w:val="none"/>
          <w:shd w:fill="FFFF00" w:val="clear"/>
        </w:rPr>
      </w:pPr>
      <w:r>
        <w:rPr>
          <w:rFonts w:eastAsia="Times New Roman"/>
          <w:spacing w:val="0"/>
          <w:kern w:val="2"/>
          <w:sz w:val="28"/>
          <w:szCs w:val="28"/>
          <w:shd w:fill="FFFF00" w:val="clear"/>
        </w:rPr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для подготовки настоящего заключения впервые.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проведены публичные консультации в период с  1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3.05.2025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г. по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21.05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.2025г. При проведении публичных консультаций предложений не поступило.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2">
        <w:r>
          <w:rPr>
            <w:rStyle w:val="Hyperlink"/>
            <w:rFonts w:eastAsia="Times New Roman" w:cs="Times New Roman" w:ascii="Times New Roman" w:hAnsi="Times New Roman"/>
            <w:spacing w:val="3"/>
            <w:kern w:val="2"/>
            <w:sz w:val="28"/>
            <w:szCs w:val="28"/>
            <w:lang w:val="ru-RU"/>
          </w:rPr>
          <w:t>https://verxnexavskij-r20.gosweb.gosuslugi.ru/deyatelnost/napravleniya-deyatelnosti/ekonomika/otsenka-reguliruyuschego-vozdeystviya/</w:t>
        </w:r>
      </w:hyperlink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в разделе «Экономика- Оценка регулирующего воздействия».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u w:val="none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ab/>
      </w:r>
    </w:p>
    <w:p>
      <w:pPr>
        <w:pStyle w:val="Normal"/>
        <w:ind w:hanging="0"/>
        <w:jc w:val="center"/>
        <w:rPr>
          <w:rFonts w:ascii="Times New Roman" w:hAnsi="Times New Roman" w:eastAsia="Times New Roman" w:cs="Times New Roman"/>
          <w:b/>
          <w:spacing w:val="3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3"/>
          <w:kern w:val="2"/>
          <w:sz w:val="28"/>
          <w:szCs w:val="28"/>
        </w:rPr>
      </w:r>
    </w:p>
    <w:p>
      <w:pPr>
        <w:pStyle w:val="Normal"/>
        <w:spacing w:before="0" w:after="200"/>
        <w:ind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Заместитель  главы администрации</w:t>
      </w:r>
    </w:p>
    <w:p>
      <w:pPr>
        <w:pStyle w:val="Normal"/>
        <w:spacing w:before="0" w:after="200"/>
        <w:ind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ind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pacing w:val="3"/>
          <w:sz w:val="28"/>
          <w:szCs w:val="28"/>
        </w:rPr>
      </w:pPr>
      <w:r>
        <w:rPr>
          <w:rFonts w:eastAsia="Times New Roman" w:cs="Times New Roman" w:ascii="Times New Roman" w:hAnsi="Times New Roman"/>
          <w:spacing w:val="3"/>
          <w:sz w:val="28"/>
          <w:szCs w:val="28"/>
        </w:rPr>
      </w:r>
    </w:p>
    <w:sectPr>
      <w:type w:val="nextPage"/>
      <w:pgSz w:w="11906" w:h="16838"/>
      <w:pgMar w:left="1701" w:right="850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rxnexavskij-r20.gosweb.gosuslugi.ru/deyatelnost/napravleniya-deyatelnosti/ekonomika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Application>LibreOffice/7.6.2.1$Windows_X86_64 LibreOffice_project/56f7684011345957bbf33a7ee678afaf4d2ba333</Application>
  <AppVersion>15.0000</AppVersion>
  <Pages>2</Pages>
  <Words>338</Words>
  <Characters>2953</Characters>
  <CharactersWithSpaces>3321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2020-06-01T06:18:00Z</dcterms:created>
  <dc:creator>Корнева Ольга Александровна</dc:creator>
  <dc:description/>
  <dc:language>ru-RU</dc:language>
  <cp:lastModifiedBy/>
  <cp:lastPrinted>2025-06-03T10:31:28Z</cp:lastPrinted>
  <dcterms:modified xsi:type="dcterms:W3CDTF">2025-06-03T10:32:40Z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