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napToGrid w:val="false"/>
        <w:spacing w:before="0" w:after="0"/>
        <w:ind w:left="567" w:right="0" w:hanging="0"/>
        <w:contextualSpacing/>
        <w:jc w:val="right"/>
        <w:outlineLvl w:val="0"/>
        <w:rPr/>
      </w:pPr>
      <w:r>
        <w:rPr>
          <w:bCs/>
        </w:rPr>
        <w:t>Утвержден</w:t>
      </w:r>
    </w:p>
    <w:p>
      <w:pPr>
        <w:pStyle w:val="Normal"/>
        <w:widowControl w:val="false"/>
        <w:snapToGrid w:val="false"/>
        <w:spacing w:before="0" w:after="0"/>
        <w:ind w:left="567" w:right="0" w:hanging="0"/>
        <w:contextualSpacing/>
        <w:jc w:val="right"/>
        <w:rPr>
          <w:bCs/>
        </w:rPr>
      </w:pPr>
      <w:r>
        <w:rPr>
          <w:bCs/>
        </w:rPr>
        <w:t>постановлением администрации</w:t>
      </w:r>
    </w:p>
    <w:p>
      <w:pPr>
        <w:pStyle w:val="Normal"/>
        <w:widowControl w:val="false"/>
        <w:snapToGrid w:val="false"/>
        <w:spacing w:before="0" w:after="0"/>
        <w:ind w:left="567" w:right="0" w:hanging="0"/>
        <w:contextualSpacing/>
        <w:jc w:val="right"/>
        <w:rPr>
          <w:bCs/>
        </w:rPr>
      </w:pPr>
      <w:r>
        <w:rPr>
          <w:bCs/>
        </w:rPr>
        <w:t xml:space="preserve"> </w:t>
      </w:r>
      <w:r>
        <w:rPr>
          <w:bCs/>
        </w:rPr>
        <w:t>Верхнехавского муниципального района</w:t>
      </w:r>
    </w:p>
    <w:p>
      <w:pPr>
        <w:pStyle w:val="Normal"/>
        <w:widowControl w:val="false"/>
        <w:snapToGrid w:val="false"/>
        <w:spacing w:before="0" w:after="0"/>
        <w:ind w:left="567" w:right="0" w:hanging="0"/>
        <w:contextualSpacing/>
        <w:jc w:val="right"/>
        <w:rPr>
          <w:bCs/>
        </w:rPr>
      </w:pPr>
      <w:r>
        <w:rPr>
          <w:bCs/>
        </w:rPr>
        <w:t xml:space="preserve"> </w:t>
      </w:r>
      <w:r>
        <w:rPr>
          <w:bCs/>
        </w:rPr>
        <w:t>Воронежской области</w:t>
      </w:r>
    </w:p>
    <w:p>
      <w:pPr>
        <w:pStyle w:val="Normal"/>
        <w:widowControl w:val="false"/>
        <w:snapToGrid w:val="false"/>
        <w:spacing w:before="0" w:after="0"/>
        <w:ind w:left="567" w:right="0" w:hanging="0"/>
        <w:contextualSpacing/>
        <w:jc w:val="right"/>
        <w:rPr/>
      </w:pPr>
      <w:r>
        <w:rPr>
          <w:bCs/>
        </w:rPr>
        <w:t>от  _____________   № ______</w:t>
      </w:r>
    </w:p>
    <w:p>
      <w:pPr>
        <w:pStyle w:val="NoSpacing"/>
        <w:snapToGrid w:val="false"/>
        <w:spacing w:before="0" w:after="0"/>
        <w:ind w:left="567" w:right="0" w:hanging="0"/>
        <w:contextualSpacing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napToGrid w:val="false"/>
        <w:spacing w:before="0" w:after="0"/>
        <w:ind w:left="567" w:right="0" w:hanging="0"/>
        <w:contextualSpacing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Порядок </w:t>
        <w:br/>
        <w:t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</w:t>
      </w:r>
    </w:p>
    <w:p>
      <w:pPr>
        <w:pStyle w:val="1"/>
        <w:snapToGrid w:val="false"/>
        <w:spacing w:before="0" w:after="0"/>
        <w:ind w:left="567" w:right="0" w:hanging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</w:r>
      <w:bookmarkStart w:id="0" w:name="sub_14"/>
      <w:bookmarkStart w:id="1" w:name="sub_14"/>
      <w:bookmarkEnd w:id="1"/>
    </w:p>
    <w:p>
      <w:pPr>
        <w:pStyle w:val="ConsPlusNormal"/>
        <w:spacing w:lineRule="auto" w:line="240" w:before="0" w:after="0"/>
        <w:ind w:left="0" w:right="0" w:hanging="0"/>
        <w:contextualSpacing/>
        <w:jc w:val="center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1. Общие положения.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1.1. Оценка регулирующего воздействия проектов муниципальных нормативных правовых актов и экспертиза действующих муниципальных нормативных правовых актов (далее- ОРВ, экспертиза) осуществляется в соответствии с Федеральным законом Российской Федерации от 06.10.2003 N 131-ФЗ "Об общих принципах организации местного самоуправления в Российской Федерации" и Законом Воронежской области от 04.08.2014 N 112-ОЗ "Об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области".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1.2. Для целей настоящего Порядка организации и проведения процедуры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ОРВ</w:t>
      </w:r>
      <w:r>
        <w:rPr>
          <w:rFonts w:ascii="Times New Roman" w:hAnsi="Times New Roman"/>
        </w:rPr>
        <w:t xml:space="preserve"> проектов муниципальных нормативных правовых актов (далее- проекты муниципальных НПА) и экспертизы муниципальных нормативных правовых актов (далее- муниципальные НПА) на территории Верхнехавского муниципального района Воронежской области (далее - Порядок) используются следующие понятия: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- уполномоченный орган — орган местного самоуправления (структурное подразделение органа местного самоуправления, должностные лица органа местного самоуправления), ответственный за внедрение и развитие ОРВ и экспертизы  и  выполняющий функции нормативно-правового, информационного и методического обеспечения оценки регулирующего воздействия, а также оценки качества проведения процедуры ОРВ разработчиками проектов муниципальных НПА;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- разработчики проектов муниципальных НПА (далее органы-разработчики)- органы местного самоуправления (структурные подразделения органа местного самоуправления) или субъекты правотворческой инициативы, установленные уставом муниципального образования, осуществляющие в пределах предоставляемых полномочий функции по вопросам местного значения;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- сводный отчет о результатах проведения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 xml:space="preserve">ОРВ </w:t>
      </w:r>
      <w:r>
        <w:rPr>
          <w:rFonts w:ascii="Times New Roman" w:hAnsi="Times New Roman"/>
        </w:rPr>
        <w:t xml:space="preserve">проекта муниципального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 xml:space="preserve">НПА </w:t>
      </w:r>
      <w:r>
        <w:rPr>
          <w:rFonts w:ascii="Times New Roman" w:hAnsi="Times New Roman"/>
        </w:rPr>
        <w:t xml:space="preserve">(далее - сводный отчет) - документ, содержащий выводы по итогам проведения органом-разработчиком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 xml:space="preserve">Форма сводного отчета приведена в </w:t>
      </w:r>
      <w:r>
        <w:rPr>
          <w:rFonts w:ascii="Times New Roman" w:hAnsi="Times New Roman"/>
        </w:rPr>
        <w:t>приложении 1 к настоящему Порядку;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- официальный сайт - информационный ресурс в информационно-телекоммуникационной сети "Интернет", определенный в муниципальном образовании для размещения сведений о проведении процедур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ОРВ</w:t>
      </w:r>
      <w:r>
        <w:rPr>
          <w:rFonts w:ascii="Times New Roman" w:hAnsi="Times New Roman"/>
        </w:rPr>
        <w:t>, в том числе в целях организации публичных консультаций и информирования об их результатах, либо интернет-портал для публичного обсуждения проектов и действующих нормативных правовых актов органов власти субъектов Российской Федерации (Портал Воронежской области по ОРВ (</w:t>
      </w:r>
      <w:r>
        <w:rPr>
          <w:rFonts w:ascii="Times New Roman" w:hAnsi="Times New Roman"/>
          <w:lang w:val="en-US"/>
        </w:rPr>
        <w:t>npa.govvrn.ru))</w:t>
      </w:r>
      <w:r>
        <w:rPr>
          <w:rFonts w:ascii="Times New Roman" w:hAnsi="Times New Roman"/>
        </w:rPr>
        <w:t>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- размещение проекта муниципального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НПА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 xml:space="preserve">и сводного отчета - этап процедуры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ОРВ</w:t>
      </w:r>
      <w:r>
        <w:rPr>
          <w:rFonts w:ascii="Times New Roman" w:hAnsi="Times New Roman"/>
        </w:rPr>
        <w:t xml:space="preserve">, в ходе которого уполномоченный орган организует обсуждение текста проекта муниципального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НПА</w:t>
      </w:r>
      <w:r>
        <w:rPr>
          <w:rFonts w:ascii="Times New Roman" w:hAnsi="Times New Roman"/>
        </w:rPr>
        <w:t xml:space="preserve"> и сводного отчета с заинтересованными лицами, в том числе с использованием официальных сайтов в информационно-телекоммуникационной сети "Интернет";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- публичные консультации - открытое обсуждение с заинтересованными лицами текста проекта муниципального нормативного правового акта и сводного отчета к нему, организуемого уполномоченным органом в ходе проведения процедуры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ОРВ</w:t>
      </w:r>
      <w:r>
        <w:rPr>
          <w:rFonts w:ascii="Times New Roman" w:hAnsi="Times New Roman"/>
        </w:rPr>
        <w:t xml:space="preserve"> и подготовки заключения об оценке регулирующего воздействия;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- заключение об оценке регулирующего воздействия (далее заключение об ОРВ) - завершающий процедуру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ОРВ</w:t>
      </w:r>
      <w:r>
        <w:rPr>
          <w:rFonts w:ascii="Times New Roman" w:hAnsi="Times New Roman"/>
        </w:rPr>
        <w:t xml:space="preserve"> документ, подготавливаемый уполномоченным органом и содержащий выводы о наличии или отсутствии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местных бюджетов, о наличии или отсутствии достаточного обоснования решения проблемы предложенным способом регулирования. Форма заключения об ОРВ утверждается органом местного самоуправления. Рекомендуемая форма заключения приведена в приложении 2 к настоящему Порядку;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- заключение об экспертизе - завершающий экспертизу документ, подготавливаемый уполномоченным органом и содержащий вывод о положениях муниципального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НПА</w:t>
      </w:r>
      <w:r>
        <w:rPr>
          <w:rFonts w:ascii="Times New Roman" w:hAnsi="Times New Roman"/>
        </w:rPr>
        <w:t xml:space="preserve">, в отношении которого проводится экспертиза, необоснованно затрудняющих  осуществление предпринимательской и инвестиционной деятельности, или об отсутствии таких положений, а также обоснование сделанных выводов. Форма заключения приведена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 xml:space="preserve">в </w:t>
      </w:r>
      <w:r>
        <w:rPr>
          <w:rFonts w:ascii="Times New Roman" w:hAnsi="Times New Roman"/>
        </w:rPr>
        <w:t>приложении 3 к настоящему Порядку.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1.3. Органы местного самоуправления проводят ОРВ проектов муниципальных НПА при наличии в них положений, устанавливающие новые или изменяющие ранее предусмотренные муниципальными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НПА: 1) обязательные требования для субъектов предпринимательской и иной экономической деятельности; 2)</w:t>
      </w:r>
      <w:r>
        <w:rPr>
          <w:rFonts w:ascii="Times New Roman" w:hAnsi="Times New Roman"/>
        </w:rPr>
        <w:t xml:space="preserve"> обязанности для субъектов  инвестиционной деятельности.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1.4. ОРВ не проводится в отношении: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1) проектов муниципальных НПА представительных органов муниципальных образований устанавливающих, изменяющих, приостанавливающих, отменяющих местные налоги и сборы;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2) проектов муниципальных НПА представительных органов муниципальных образований, регулирующих бюджетные правоотношения;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3) проектов муниципальных НПА,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1.5. При проведении процедуры ОРВ обеспечивается: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- объективный анализ обоснованности предлагаемого способа правового регулирования, начиная с ранней стадии его разработки (стадия формирования идеи (концепции) введения предлагаемого правового регулирования), посредством сравнения всех возможных способов решения выявленной проблемы, включая вариант невмешательства в регулирование общественных отношений, связанных с выявленной проблемой;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- количественное сопоставление предполагаемых результатов реализации различных вариантов предлагаемого правового регулирования (включая анализ косвенного воздействия на смежные сферы общественных отношений) с учетом требуемых материальных, временных, трудовых затрат на его введение, а также возможных издержек и выгод предполагаемых адресатов такого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- 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- обязательность наличия заключения об ОРВ 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1.6. Процедура ОРВ проводится с учетом степени регулирующего воздействия положений, содержащихся в подготовленном органом-разработчиком проекте НПА: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а) высокая степень регулирующего воздействия - проект муниципального НПА содержит положения, устанавливающие новые обязанности для субъектов предпринимательской и иной экономической деятельности, а также новые обязанности для субъектов предпринимательской и инвестиционной деятельности;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б) средняя степень регулирующего воздействия — проект муниципального НПА содержит положения, изменяющие ранее предусмотренные муниципальные НПА обязательные требования для субъектов предпринимательской и иной экономической  деятельности, а также новые обязанности для субъектов предпринимательской и инвестиционной деятельности;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в) низкая степень регулирующего воздействия - проект муниципального НПА содержит положения, отменяющие ранее предусмотренные муниципальные НПА обязательные требования для субъектов предпринимательской и иной экономической деятельности, а также новые обязанности для субъектов предпринимательской и инвестиционной деятельности.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Normal"/>
        <w:spacing w:lineRule="auto" w:line="240" w:before="0" w:after="0"/>
        <w:ind w:left="0" w:right="0" w:hanging="0"/>
        <w:contextualSpacing/>
        <w:jc w:val="center"/>
        <w:rPr/>
      </w:pPr>
      <w:r>
        <w:rPr>
          <w:rFonts w:ascii="Times New Roman" w:hAnsi="Times New Roman"/>
          <w:b w:val="false"/>
          <w:bCs w:val="false"/>
          <w:sz w:val="24"/>
          <w:szCs w:val="24"/>
        </w:rPr>
        <w:t>2. Порядок проведения процедуры оценки регулирующего воздействия проектов муниципальных нормативных правовых актов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2.1. Орган-разработчик представляет проект муниципального НПА и сводный отчет в уполномоченный орган без проведения публичных консультаций проекта муниципального НПА и сводного отчета, а уполномоченный орган самостоятельно проводит публичные консультации с заинтересованными лицами с использованием официального сайта.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2.2. В случае принятия решения о необходимости введения правового регулирования орган-разработчик разрабатывает соответствующий проект муниципального НПА и формирует сводный отчет.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2.3. В сводном отчете органу-разработчику рекомендуется отразить следующие положения: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1) степень регулирующего воздействия;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2) общая информация (орган-разработчик, вид и наименование акта);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3) описание проблемы, на решение которой направлено предлагаемое правовое регулирование;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4) определение целей предлагаемого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5) описание предлагаемого варианта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6) описание альтернативных вариантов решения проблемы;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7) качественная характеристика и оценка численности потенциальных адресатов предлагаемого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8)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9) оценка дополнительных расходов (доходов) местных бюджетов, связанных с введением предлагаемого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10)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11) ключевые показатели достижения целей предлагаемого варианта правового регулирования, срок их достижения.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2.4. Орган-разработчик направляет проект муниципального НПА и сводный отчет в уполномоченный орган для проведения публичного обсуждения проекта муниципального НПА и сводного отчета, а также подготовки заключения об ОРВ.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2.5. В случае, если сведений, представленных в сводном отчете, недостаточно для подготовки заключения об ОРВ, уполномоченный орган вправе вернуть сводный отчет и проект муниципального НПА органу-разработчику на доработку.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2.6. В целях проведения обсуждения проекта муниципального НПА и сводного отчета уполномоченный орган размещает на официальном сайте проект муниципального НПА и сводный отчет, а также проводит публичные консультации с заинтересованными лицами.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2.7. К тексту проекта муниципального НПА и сводному отчету прикладываются и размещаются на официальном сайте: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1) информационное сообщение о проведении публичных консультаций;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2) перечень вопросов для участников публичных консультаций;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3) иные материалы и информация по усмотрению уполномоченного органа.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2.8. Срок проведения публичных консультаций в зависимости от степени регулирующего воздействия составляет 10, 7 или 5 рабочих дней со дня размещения проекта муниципального НПА и сводного отчета на официальном сайте.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Перед началом публичных консультаций уполномоченный орган указывает срок, в течение которого будет осуществляться прием позиций заинтересованных лиц.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2.9. О проведении публичных консультаций по проекту муниципального НПА и сводного отчета (с указанием источника опубликования) рекомендуется извещать следующие органы и организации: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1) органы и организации, действующие на территории муниципального образования, целью деятельности которых является защита и представление интересов субъектов предпринимательской и инвестиционной деятельности;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2) уполномоченного по защите прав предпринимателей в Воронежской области;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3) иных лиц, которых целесообразно привлечь к публичным консультациям, исходя из содержания проблемы, цели и предмета регулирования.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Отсутствие у органа-разработчика исчерпывающих сведений о круге лиц, интересы которых могут быть затронуты предлагаемым правовым регулированием, не являются основанием для отказа от рассылки извещений о проведении публичных консультаций.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2.10. Уполномоченный орган обрабатывает все предложения, поступившие в ходе публичных консультаций и составляет сводку предложений. Форма сводки предложений приведена в приложении 4 к настоящему Порядку.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В сводке предложений уполномоченный орган указывает органы и организации, которым были направлены извещения о проведении публичных консультаций, автора и содержание предложения.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Позиции заинтересованных лиц могут быть получены также посредством проведения совещаний, заседаний экспертных групп, общественных советов и других совещательных и консультативных органов, действующих при органах местного самоуправления, проведении опросов представителей групп заинтересованных лиц, а также с использованием иных форм и источников получения информации. Поступившие в ходе вышеуказанных мероприятий приложения включаются в сводку предложений.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2.11. В течение 2 рабочих дней уполномоченный орган направляет сводку предложений органу-разработчику. Орган-разработчик в течение 3 рабочих дней рассматривает поступившие замечания и предложения и указывает в сводке предложений результат их рассмотрения.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В случае отказа от использования предложения или устранения поступившего замечания, орган-разработчик указывает в сводке предложений мотивированное обоснование такого отказа со ссылкой на структурную единицу нормативного правового акта, которому противоречит поступившее предложение или замечание.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2.12. Сводка предложений подписывается руководителем органа-разработчика и направляется в уполномоченный орган для размещения на официальном сайте.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b w:val="false"/>
          <w:bCs w:val="false"/>
        </w:rPr>
        <w:t>2.12. По результатам обработки предложений, полученных в ходе публичных консультаций, орган-разработчик, при необходимости, дорабатывает проект муниципального НПА. Доработанный проект муниципального НПА вместе со сводкой предложений направляются в уполномоченный орган для подготовки заключения об ОРВ.</w:t>
      </w:r>
    </w:p>
    <w:p>
      <w:pPr>
        <w:pStyle w:val="ConsPlusNormal"/>
        <w:widowControl w:val="false"/>
        <w:numPr>
          <w:ilvl w:val="0"/>
          <w:numId w:val="0"/>
        </w:numPr>
        <w:snapToGrid w:val="false"/>
        <w:spacing w:lineRule="auto" w:line="240" w:before="0" w:after="0"/>
        <w:ind w:left="0" w:right="0" w:hanging="0"/>
        <w:contextualSpacing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Normal"/>
        <w:widowControl w:val="false"/>
        <w:numPr>
          <w:ilvl w:val="0"/>
          <w:numId w:val="0"/>
        </w:numPr>
        <w:snapToGrid w:val="false"/>
        <w:spacing w:lineRule="auto" w:line="240" w:before="0" w:after="0"/>
        <w:ind w:left="0" w:right="0" w:hanging="0"/>
        <w:contextualSpacing/>
        <w:jc w:val="center"/>
        <w:outlineLvl w:val="0"/>
        <w:rPr/>
      </w:pPr>
      <w:r>
        <w:rPr>
          <w:rFonts w:ascii="Times New Roman" w:hAnsi="Times New Roman"/>
          <w:sz w:val="24"/>
          <w:szCs w:val="24"/>
        </w:rPr>
        <w:t>3. Подготовка заключения об оценке регулирующего воздействия проекта муниципального нормативного правового акта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3.1. В течение 10 рабочих дней со дня окончания публичных консультаций или поступления доработанного проекта муниципального НПА уполномоченный орган подготавливает заключение об ОРВ, которое должно содержать выводы о наличии или отсутствии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местных бюджетов, о наличии или отсутствии достаточного обоснования решения проблемы предложенным способом регулирования.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3.2. Анализ, проводимый уполномоченным органом, основывается на результатах исследования органом-разработчиком выявленной проблемы, представленных в сводном отчете. При этом учитываются мнения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3.3. 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3.4. 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отчета: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1) точность формулировки выявленной проблемы;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2) обоснованность качественного и количественного определения потенциальных адресатов предлагаемого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3) определение целей предлагаемого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4) практическая реализуемость заявленных целей предлагаемого правового регулирования;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5) верифицируемость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6)  корректность оценки органом-разработчиком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3.5. Заключение об ОРВ структурно должно включать в себя вводную, описательную, мотивировочную и заключительную (итоговую) части.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Во вводной части заключения об ОРВ указывается наименование проекта муниципального нормативного правового акта и органа-разработчика, приводятся краткие сведения о проведенных в рамках процедуры ОРВ мероприятиях и их сроках.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В описательной части заключения об ОРВ представляются основные положения предлагаемого правового регулирования, содержащиеся в сводном отчете выводы органа-разработчика об обоснованности предлагаемого правового регулирования и результаты публичных консультаций.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В мотивировочной части заключения об ОРВ излагается позиция уполномоченного органа относительно предлагаемого правового регулирования и соблюдения органом-разработчиком установленного порядка проведения процедуры ОРВ.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В мотивировочной части также осуществляется анализ ключевых выводов и результатов расчетов, представленных органом-разработчиком в соответствующих разделах сводного отчета, обобщение и оценка результатов публичных консультаций, предложения уполномоченного органа, направленные на улучшение качества проекта муниципального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НПА</w:t>
      </w:r>
      <w:r>
        <w:rPr>
          <w:rFonts w:ascii="Times New Roman" w:hAnsi="Times New Roman"/>
        </w:rPr>
        <w:t>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Итоговым выводом заключения об оценке регулирующего воздействия являются выводы о достаточности или недостаточности оснований для принятия решения о введении предлагаемого органом-разработчиком варианта правового регулирования, а также о наличии или отсутствии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местных бюджетов.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3.6. В случае наличия обоснованных предложений уполномоченного органа, направленных на улучшение качества проекта муниципального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НПА</w:t>
      </w:r>
      <w:r>
        <w:rPr>
          <w:rFonts w:ascii="Times New Roman" w:hAnsi="Times New Roman"/>
        </w:rPr>
        <w:t>, они также включаются в заключение об ОРВ.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3.7. Уполномоченный орган в течение 10 рабочих дней с даты поступления проекта муниципального НПА и сводного отчета направляет органу-разработчику заключение об ОРВ с перечнем замечаний, требующих устранения, либо выражает свою отрицательную позицию к предлагаемому варианту правового регулирования, если в ходе всестороннего анализа результатов проведенной процедуры ОРВ придет к выводу о необоснованности таких результатов.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3.8. Орган-разработчик в течение 5 календарных дней с даты поступления заключения об ОРВ устраняет замечания и учитывает предложения уполномоченного органа при доработке проекта муниципального НПА.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В случае несогласия органа-разработчика с замечаниями, изложенными в заключении об ОРВ уполномоченного органа, орган-разработчик направляет в уполномоченный орган пояснительную записку с изложением разногласий, подписанную руководителем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регулирующего органа</w:t>
      </w:r>
      <w:r>
        <w:rPr>
          <w:rFonts w:ascii="Times New Roman" w:hAnsi="Times New Roman"/>
        </w:rPr>
        <w:t>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Уполномоченный орган в течение 5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рабочих</w:t>
      </w:r>
      <w:r>
        <w:rPr>
          <w:rFonts w:ascii="Times New Roman" w:hAnsi="Times New Roman"/>
        </w:rPr>
        <w:t xml:space="preserve"> дней после получения пояснительной записки с изложением разногласий рассматривает их и в письменной форме уведомляет орган-разработчик о согласии (либо о несогласии) с представленными разногласиями.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В целях устранения неурегулированных разногласий орган-разработчик организует и проводит согласительное совещание с участием уполномоченного органа и иных заинтересованных лиц. Дата, время и место определяются органом-разработчиком.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>Результаты проведения согласительного совещания оформляются протоколом. Протокол составляется органом-разработчиком и подписывается всеми присутствовавшими на совещании представителями органа-разработчика и уполномоченного органа не позднее 3 рабочих дней с даты проведения согласительного совещания.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</w:rPr>
        <w:t xml:space="preserve">Заключение об ОРВ подлежит размещению уполномоченным органом на  официальном сайте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в течение</w:t>
      </w:r>
      <w:r>
        <w:rPr>
          <w:rFonts w:ascii="Times New Roman" w:hAnsi="Times New Roman"/>
        </w:rPr>
        <w:t xml:space="preserve"> 3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рабочих</w:t>
      </w:r>
      <w:r>
        <w:rPr>
          <w:rFonts w:ascii="Times New Roman" w:hAnsi="Times New Roman"/>
        </w:rPr>
        <w:t xml:space="preserve"> дней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0"/>
          <w:lang w:val="ru-RU" w:eastAsia="ru-RU" w:bidi="ar-SA"/>
        </w:rPr>
        <w:t>со дня его подготовки.</w:t>
      </w:r>
    </w:p>
    <w:p>
      <w:pPr>
        <w:pStyle w:val="ConsPlusNormal"/>
        <w:widowControl/>
        <w:snapToGrid w:val="false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spacing w:lineRule="auto" w:line="240" w:before="0" w:after="0"/>
        <w:ind w:left="0" w:right="0" w:hanging="0"/>
        <w:contextualSpacing/>
        <w:jc w:val="center"/>
        <w:rPr/>
      </w:pPr>
      <w:r>
        <w:rPr>
          <w:rFonts w:ascii="Times New Roman" w:hAnsi="Times New Roman"/>
          <w:sz w:val="24"/>
          <w:szCs w:val="24"/>
        </w:rPr>
        <w:t>4. Порядок проведения экспертизы муниципальных нормативных правовых актов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4.1. Экспертиза муниципальных НПА проводится уполномоченным органом в отношении действующих муниципальных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НПА</w:t>
      </w:r>
      <w:r>
        <w:rPr>
          <w:rFonts w:ascii="Times New Roman" w:hAnsi="Times New Roman"/>
          <w:sz w:val="24"/>
          <w:szCs w:val="24"/>
        </w:rPr>
        <w:t xml:space="preserve">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4.2. Экспертиза проводится в отношении муниципальных НПА, регулирующих отношения, участниками которых являются или могут являться субъекты предпринимательской и инвестиционной деятельности. 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4.3. Экспертиза проводится на основании утверждаемого уполномоченным органом плана. В план включаются муниципальные НПА, в отношении которых имеются сведения, указывающие, что положения муниципального НПА могут создавать условия, необоснованно затрудняющие осуществление предпринимательской и инвестиционной деятельности.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4.4. 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нормативно-правовому регулированию в установленной сфере деятельности, а также в результате рассмотрения предложений о проведении экспертизы, поступивших в уполномоченный орган от: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1) органов государственной власти Воронежской области;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2) органов местного самоуправления;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3) субъектов предпринимательской и инвестиционной деятельности, ассоциаций и союзов, представляющих их интересы;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4) иных лиц.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4.5. План утверждается на год и размещается на официальном сайте. 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4.6. Срок проведения экспертизы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составляет</w:t>
      </w:r>
      <w:r>
        <w:rPr>
          <w:rFonts w:ascii="Times New Roman" w:hAnsi="Times New Roman"/>
          <w:sz w:val="24"/>
          <w:szCs w:val="24"/>
        </w:rPr>
        <w:t xml:space="preserve"> 2 месяца. При необходимости срок проведения экспертизы может быть продлен уполномоченным органом, но не более чем на 1 месяц.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4.7. В ходе экспертизы проводятся публичные консультации, исследование муниципального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НПА</w:t>
      </w:r>
      <w:r>
        <w:rPr>
          <w:rFonts w:ascii="Times New Roman" w:hAnsi="Times New Roman"/>
          <w:sz w:val="24"/>
          <w:szCs w:val="24"/>
        </w:rPr>
        <w:t xml:space="preserve"> на предмет наличия положений, необоснованно затрудняющих осуществление предпринимательской и инвестиционной деятельности, и составляется мотивированное заключение об экспертизе.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4.8. Срок проведения публичных консультаций составляет 15 рабочих дней со дня, установленного для начала экспертизы.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4.9. При проведении исследования уполномоченный орган: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1) рассматривает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2) анализирует положения муниципальных НПА во взаимосвязи со сложившейся практикой их применения;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3) определяет характер и степень воздействия положений муниципальных НПА на регулируемые отношения в сфере предпринимательской и инвестиционной деятельности;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4) устанавливает наличие затруднений в осуществлении предпринимательской и инвестиционной деятельности, вызванных применением положений муниципальных НПА, а также обоснованность и целесообразность данных положений для целей регулирования соответствующих отношений.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4.10. По результатам исследования уполномоченный орган составляет проект заключения об экспертизе.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В проекте заключения об экспертизе уполномоченный орган указывает сведения: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1) о муниципальном НПА, в отношении которого проводится экспертиза, источниках его официального опубликования, органе-разработчике;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2) о выявленных положениях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НПА, которые исходя из анализа их применения для регулирования отношений предпринимательской и инвестиционной деятельности, создают необоснованные затруднения при осуществлении предпринимательской и инвестиционной деятельности, или отсутствии таких положений;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3) об обосновании сделанных выводов;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4) о проведении публичных консультаций, включая позицию органов местного самоуправления и представителей предпринимательского сообщества, участвовавших в экспертизе.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4.12. После подписания заключения об экспертизе уполномоченный орган размещает его на официальном сайте и направляет лицу, обратившемуся с предложением о проведении экспертизы данного муниципального НПА, в орган местного самоуправления, принявший муниципальный НПА.</w:t>
      </w:r>
    </w:p>
    <w:p>
      <w:pPr>
        <w:pStyle w:val="ConsPlusNormal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4.13. По результатам экспертизы уполномоченный орган в случае выявления в НПА положений, необоснованно затрудняющих осуществление предпринимательской и инвестиционной деятельности, вносит в орган местного самоуправления, принявший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НПА</w:t>
      </w:r>
      <w:r>
        <w:rPr>
          <w:rFonts w:ascii="Times New Roman" w:hAnsi="Times New Roman"/>
          <w:sz w:val="24"/>
          <w:szCs w:val="24"/>
        </w:rPr>
        <w:t>, предложение о внесении изменений в муниципальный НПА или его отмене.</w:t>
      </w:r>
    </w:p>
    <w:p>
      <w:pPr>
        <w:pStyle w:val="ConsPlusNormal"/>
        <w:widowControl/>
        <w:snapToGrid w:val="false"/>
        <w:spacing w:lineRule="auto" w:line="240" w:before="0" w:after="0"/>
        <w:ind w:left="0" w:righ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4.14. Орган местного самоуправления, принявший муниципальный НПА, обязан в течение 10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4"/>
          <w:lang w:val="ru-RU" w:eastAsia="ru-RU" w:bidi="ar-SA"/>
        </w:rPr>
        <w:t>рабочих</w:t>
      </w:r>
      <w:r>
        <w:rPr>
          <w:rFonts w:ascii="Times New Roman" w:hAnsi="Times New Roman"/>
          <w:sz w:val="24"/>
          <w:szCs w:val="24"/>
        </w:rPr>
        <w:t xml:space="preserve"> дней со дня поступления предложения о внесении изменений в муниципальный НПА или его отмене подготовить проект внесения изменений (дополнений) в соответствующий муниципальный </w:t>
      </w:r>
      <w:r>
        <w:rPr>
          <w:rFonts w:eastAsia="Times New Roman" w:cs="Arial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НПА</w:t>
      </w:r>
      <w:r>
        <w:rPr>
          <w:rFonts w:ascii="Times New Roman" w:hAnsi="Times New Roman"/>
          <w:sz w:val="24"/>
          <w:szCs w:val="24"/>
        </w:rPr>
        <w:t>, либо аргументировать невозможность устранения замечаний, либо разработать проект об отмене муниципального НПА</w:t>
      </w:r>
    </w:p>
    <w:p>
      <w:pPr>
        <w:pStyle w:val="Style41"/>
        <w:widowControl/>
        <w:snapToGrid w:val="false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24"/>
        <w:numPr>
          <w:ilvl w:val="0"/>
          <w:numId w:val="0"/>
        </w:numPr>
        <w:shd w:val="clear" w:fill="auto"/>
        <w:spacing w:lineRule="auto" w:line="240" w:before="0" w:after="0"/>
        <w:ind w:left="0" w:right="0" w:hanging="0"/>
        <w:contextualSpacing/>
        <w:jc w:val="right"/>
        <w:rPr/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Приложение № 1</w:t>
      </w:r>
    </w:p>
    <w:p>
      <w:pPr>
        <w:pStyle w:val="Style42"/>
        <w:spacing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bookmarkStart w:id="2" w:name="__DdeLink__650_4072253945"/>
      <w:r>
        <w:rPr>
          <w:rFonts w:cs="Times New Roman" w:ascii="Times New Roman" w:hAnsi="Times New Roman"/>
          <w:sz w:val="24"/>
          <w:szCs w:val="24"/>
        </w:rPr>
        <w:t>к Порядку организации и  проведения процедуры</w:t>
      </w:r>
      <w:bookmarkEnd w:id="2"/>
    </w:p>
    <w:p>
      <w:pPr>
        <w:pStyle w:val="Style42"/>
        <w:spacing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оценки регулирующего воздействия проектов </w:t>
      </w:r>
    </w:p>
    <w:p>
      <w:pPr>
        <w:pStyle w:val="Style42"/>
        <w:spacing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муниципальных правовых актов и экспертизы </w:t>
      </w:r>
    </w:p>
    <w:p>
      <w:pPr>
        <w:pStyle w:val="24"/>
        <w:numPr>
          <w:ilvl w:val="0"/>
          <w:numId w:val="0"/>
        </w:numPr>
        <w:shd w:val="clear" w:fill="auto"/>
        <w:spacing w:lineRule="auto" w:line="240"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/>
          <w:sz w:val="24"/>
          <w:szCs w:val="24"/>
        </w:rPr>
        <w:t>муниципальных нормативных правовых актов</w:t>
      </w:r>
    </w:p>
    <w:p>
      <w:pPr>
        <w:pStyle w:val="24"/>
        <w:numPr>
          <w:ilvl w:val="0"/>
          <w:numId w:val="0"/>
        </w:numPr>
        <w:shd w:val="clear" w:fill="auto"/>
        <w:spacing w:lineRule="auto" w:line="240" w:before="0" w:after="0"/>
        <w:ind w:left="0" w:right="0" w:hanging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24"/>
        <w:numPr>
          <w:ilvl w:val="0"/>
          <w:numId w:val="0"/>
        </w:numPr>
        <w:shd w:val="clear" w:fill="auto"/>
        <w:spacing w:lineRule="auto" w:line="240" w:before="0" w:after="0"/>
        <w:ind w:left="0" w:right="0" w:hanging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3"/>
        <w:numPr>
          <w:ilvl w:val="0"/>
          <w:numId w:val="0"/>
        </w:numPr>
        <w:shd w:val="clear" w:fill="auto"/>
        <w:spacing w:lineRule="auto" w:line="240" w:before="0" w:after="422"/>
        <w:ind w:left="0" w:right="0" w:hanging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Сводный отчет о результатах проведения оценки регулирующего воздействия проекта нормативного правового акта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3959" w:leader="none"/>
        </w:tabs>
        <w:spacing w:lineRule="auto" w:line="240" w:before="0" w:after="266"/>
        <w:ind w:left="0" w:right="0" w:hanging="0"/>
        <w:jc w:val="left"/>
        <w:rPr/>
      </w:pPr>
      <w:r>
        <w:rPr>
          <w:b w:val="false"/>
          <w:bCs w:val="false"/>
          <w:sz w:val="24"/>
          <w:szCs w:val="24"/>
        </w:rPr>
        <w:t xml:space="preserve">                                                </w:t>
      </w:r>
      <w:r>
        <w:rPr>
          <w:b w:val="false"/>
          <w:bCs w:val="false"/>
          <w:sz w:val="24"/>
          <w:szCs w:val="24"/>
        </w:rPr>
        <w:t>1. Общая информация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3959" w:leader="none"/>
        </w:tabs>
        <w:spacing w:lineRule="auto" w:line="240" w:before="0" w:after="266"/>
        <w:ind w:left="0" w:right="0" w:hanging="0"/>
        <w:jc w:val="left"/>
        <w:rPr/>
      </w:pPr>
      <w:r>
        <w:rPr>
          <w:sz w:val="24"/>
          <w:szCs w:val="24"/>
        </w:rPr>
        <w:t>1.1. Орган-разработчик:</w:t>
        <w:tab/>
        <w:t>.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506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1.2. Вид и наименование проекта нормативного правового акта:__________________________________________________________________________________________________________________________________________.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282" w:leader="none"/>
          <w:tab w:val="right" w:pos="9356" w:leader="underscor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1.3. Предполагаемая дата вступления в силу нормативного правового акта:</w:t>
        <w:tab/>
        <w:t>___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282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1.4. Краткое описание проблемы, на решение которой направлено предлагаемое правовое регулирование:__________________________________________________</w:t>
        <w:tab/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506" w:leader="none"/>
        </w:tabs>
        <w:spacing w:lineRule="auto" w:line="240" w:before="0" w:after="298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1.5. Краткое описание целей предлагаемого правового регулирования:________________________________________________________________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506" w:leader="none"/>
        </w:tabs>
        <w:spacing w:lineRule="auto" w:line="240" w:before="0" w:after="271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1.6. Краткое описание содержания предлагаемого правового регулирования:________________________________________________________________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282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1.7. Срок, в течение которого принимаются предложения в ходя публичных консультаций:_____________</w:t>
        <w:tab/>
        <w:t>по_________________</w:t>
        <w:tab/>
        <w:t>.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tyle3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282" w:leader="none"/>
              <w:tab w:val="left" w:pos="8551" w:leader="underscor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1.8. Данный проект нормативного правового акта имеет</w:t>
            <w:tab/>
            <w:t>степень регулирующего воздействия.</w:t>
          </w:r>
        </w:p>
        <w:p>
          <w:pPr>
            <w:pStyle w:val="Style3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282" w:leader="non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1.9. Контактная информация исполнителя в органе-разработчике:</w:t>
          </w:r>
        </w:p>
        <w:p>
          <w:pPr>
            <w:pStyle w:val="Style36"/>
            <w:numPr>
              <w:ilvl w:val="0"/>
              <w:numId w:val="0"/>
            </w:numPr>
            <w:shd w:val="clear" w:fill="auto"/>
            <w:tabs>
              <w:tab w:val="clear" w:pos="708"/>
              <w:tab w:val="left" w:pos="3410" w:leader="underscor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Ф.И.О.:</w:t>
            <w:tab/>
            <w:t>________________________________________________;</w:t>
          </w:r>
        </w:p>
        <w:p>
          <w:pPr>
            <w:pStyle w:val="Style36"/>
            <w:numPr>
              <w:ilvl w:val="0"/>
              <w:numId w:val="0"/>
            </w:numPr>
            <w:shd w:val="clear" w:fill="auto"/>
            <w:tabs>
              <w:tab w:val="clear" w:pos="708"/>
              <w:tab w:val="left" w:pos="3774" w:leader="underscor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Должность:</w:t>
            <w:tab/>
            <w:t>_____________________________________________;</w:t>
          </w:r>
        </w:p>
        <w:p>
          <w:pPr>
            <w:pStyle w:val="Style36"/>
            <w:numPr>
              <w:ilvl w:val="0"/>
              <w:numId w:val="0"/>
            </w:numPr>
            <w:shd w:val="clear" w:fill="auto"/>
            <w:tabs>
              <w:tab w:val="clear" w:pos="708"/>
              <w:tab w:val="left" w:pos="2946" w:leader="underscor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Тел.:</w:t>
            <w:tab/>
            <w:t>____________________________________________________;</w:t>
          </w:r>
        </w:p>
        <w:p>
          <w:pPr>
            <w:pStyle w:val="Style36"/>
            <w:numPr>
              <w:ilvl w:val="0"/>
              <w:numId w:val="0"/>
            </w:numPr>
            <w:shd w:val="clear" w:fill="auto"/>
            <w:tabs>
              <w:tab w:val="clear" w:pos="708"/>
              <w:tab w:val="left" w:pos="5488" w:leader="underscore"/>
            </w:tabs>
            <w:spacing w:lineRule="auto" w:line="240" w:before="0" w:after="267"/>
            <w:ind w:left="0" w:right="0" w:hanging="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Адрес электронной почты:</w:t>
            <w:tab/>
            <w:t>_______________________________.</w:t>
          </w:r>
          <w:r>
            <w:rPr>
              <w:b w:val="false"/>
              <w:bCs w:val="false"/>
              <w:sz w:val="24"/>
              <w:szCs w:val="24"/>
            </w:rPr>
            <w:t xml:space="preserve">     2. Описание проблемы,</w:t>
          </w:r>
        </w:p>
        <w:p>
          <w:pPr>
            <w:pStyle w:val="Style36"/>
            <w:numPr>
              <w:ilvl w:val="0"/>
              <w:numId w:val="0"/>
            </w:numPr>
            <w:shd w:val="clear" w:fill="auto"/>
            <w:tabs>
              <w:tab w:val="clear" w:pos="708"/>
              <w:tab w:val="left" w:pos="5488" w:leader="underscore"/>
            </w:tabs>
            <w:spacing w:lineRule="auto" w:line="240" w:before="0" w:after="267"/>
            <w:ind w:left="0" w:right="0" w:hanging="0"/>
            <w:jc w:val="center"/>
            <w:rPr>
              <w:sz w:val="24"/>
              <w:szCs w:val="24"/>
            </w:rPr>
          </w:pPr>
          <w:r>
            <w:rPr>
              <w:b w:val="false"/>
              <w:bCs w:val="false"/>
              <w:sz w:val="24"/>
              <w:szCs w:val="24"/>
            </w:rPr>
            <w:t>на решение которой направлено предлагаемое правовое регулирование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296" w:leader="none"/>
              <w:tab w:val="left" w:pos="8551" w:leader="underscor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2.1.  Формулировка проблемы:</w:t>
            <w:tab/>
            <w:t>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242" w:leader="none"/>
              <w:tab w:val="left" w:pos="9336" w:leader="underscore"/>
            </w:tabs>
            <w:spacing w:lineRule="auto" w:line="240" w:before="0" w:after="0"/>
            <w:ind w:left="0" w:right="0" w:hanging="0"/>
            <w:jc w:val="left"/>
            <w:rPr/>
          </w:pPr>
          <w:r>
            <w:rPr>
              <w:sz w:val="24"/>
              <w:szCs w:val="24"/>
            </w:rPr>
            <w:t>_________________________________________________________________________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242" w:leader="none"/>
              <w:tab w:val="left" w:pos="9336" w:leader="underscore"/>
            </w:tabs>
            <w:spacing w:lineRule="auto" w:line="240" w:before="0" w:after="0"/>
            <w:ind w:left="0" w:right="0" w:hanging="0"/>
            <w:jc w:val="left"/>
            <w:rPr/>
          </w:pPr>
          <w:r>
            <w:rPr>
              <w:sz w:val="24"/>
              <w:szCs w:val="24"/>
            </w:rPr>
            <w:t>2.2. Информация о возникновении, выявлении проблемы и мерах, принятых ранее    для ее решения, достигнутых результатах и затраченных ресурсах:____________________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_______________________________________________________________________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2.3. Социальные группы, заинтересованные в устранении проблемы, их количественная оценка:__________________________________________________________________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2.4. Характеристика негативных эффектов, возникающих в связи с наличием проблемы, их количественная оценка:_______________________________________</w:t>
            <w:tab/>
            <w:t>___________________________________________________________________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2.5. Причины возникновения проблемы и факторы, поддерживающие ее существование:__________________________________________________________    _______________________________________________________________________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2.6. Причины невозможности решения проблемы участниками соответствующих отношений самостоятельно, без вмешательства государства:___________________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</w:tabs>
            <w:spacing w:lineRule="auto" w:line="240" w:before="0" w:after="263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_______________________________________________________________________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</w:tabs>
            <w:spacing w:lineRule="auto" w:line="240" w:before="0" w:after="263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2.7. Опыт решения аналогичных проблем в других муниципальных образованиях:__________________________________________________________________________________________________________________________________</w:t>
          </w:r>
        </w:p>
        <w:p>
          <w:pPr>
            <w:pStyle w:val="6"/>
            <w:numPr>
              <w:ilvl w:val="0"/>
              <w:numId w:val="0"/>
            </w:numPr>
            <w:shd w:val="clear" w:fill="auto"/>
            <w:tabs>
              <w:tab w:val="clear" w:pos="708"/>
              <w:tab w:val="left" w:pos="1301" w:leader="none"/>
              <w:tab w:val="left" w:pos="9333" w:leader="underscor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  <w:t>2.8. Иная информация о проблеме:</w:t>
            <w:tab/>
          </w:r>
        </w:p>
        <w:p>
          <w:pPr>
            <w:pStyle w:val="6"/>
            <w:shd w:val="clear" w:fill="auto"/>
            <w:tabs>
              <w:tab w:val="clear" w:pos="708"/>
              <w:tab w:val="left" w:pos="1301" w:leader="none"/>
              <w:tab w:val="left" w:pos="9333" w:leader="underscore"/>
            </w:tabs>
            <w:spacing w:lineRule="auto" w:line="240" w:before="0" w:after="0"/>
            <w:ind w:left="0" w:right="0" w:hanging="0"/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</w:p>
        <w:p>
          <w:pPr>
            <w:pStyle w:val="6"/>
            <w:shd w:val="clear" w:fill="auto"/>
            <w:tabs>
              <w:tab w:val="clear" w:pos="708"/>
              <w:tab w:val="left" w:pos="1301" w:leader="none"/>
              <w:tab w:val="left" w:pos="9333" w:leader="underscore"/>
            </w:tabs>
            <w:spacing w:lineRule="auto" w:line="240" w:before="0" w:after="0"/>
            <w:ind w:left="0" w:right="0" w:hanging="0"/>
            <w:rPr>
              <w:b w:val="false"/>
              <w:b w:val="false"/>
              <w:bCs w:val="false"/>
              <w:sz w:val="24"/>
              <w:szCs w:val="24"/>
            </w:rPr>
          </w:pPr>
          <w:r>
            <w:rPr>
              <w:b w:val="false"/>
              <w:bCs w:val="false"/>
              <w:sz w:val="24"/>
              <w:szCs w:val="24"/>
            </w:rPr>
            <w:t>3. Определение целей предлагаемого правового регулирования и индикаторов оценки их достижения</w:t>
          </w:r>
        </w:p>
        <w:p>
          <w:pPr>
            <w:pStyle w:val="6"/>
            <w:shd w:val="clear" w:fill="auto"/>
            <w:tabs>
              <w:tab w:val="clear" w:pos="708"/>
              <w:tab w:val="left" w:pos="1301" w:leader="none"/>
              <w:tab w:val="left" w:pos="9333" w:leader="underscore"/>
            </w:tabs>
            <w:spacing w:lineRule="auto" w:line="240" w:before="0" w:after="0"/>
            <w:ind w:left="0" w:right="0" w:hanging="0"/>
            <w:rPr>
              <w:b/>
              <w:b/>
              <w:bCs/>
            </w:rPr>
          </w:pPr>
          <w:r>
            <w:rPr>
              <w:b/>
              <w:bCs/>
            </w:rPr>
          </w:r>
        </w:p>
      </w:sdtContent>
    </w:sdt>
    <w:tbl>
      <w:tblPr>
        <w:tblW w:w="935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118"/>
        <w:gridCol w:w="3118"/>
        <w:gridCol w:w="3118"/>
      </w:tblGrid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3.1. Цели предлагаемого правового регулирования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/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pacing w:lineRule="auto" w:line="240"/>
        <w:ind w:left="0" w:right="0" w:hanging="0"/>
        <w:rPr/>
      </w:pPr>
      <w:r>
        <w:rPr>
          <w:sz w:val="24"/>
          <w:szCs w:val="24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целей:_______________________________________________________________________</w:t>
      </w:r>
    </w:p>
    <w:p>
      <w:pPr>
        <w:pStyle w:val="Normal"/>
        <w:spacing w:lineRule="auto" w:line="240"/>
        <w:ind w:left="0" w:right="0" w:hanging="0"/>
        <w:rPr/>
      </w:pPr>
      <w:r>
        <w:rPr>
          <w:sz w:val="24"/>
          <w:szCs w:val="24"/>
        </w:rPr>
        <w:t>_________________________________________________________________________</w:t>
      </w:r>
    </w:p>
    <w:p>
      <w:pPr>
        <w:pStyle w:val="Normal"/>
        <w:spacing w:lineRule="auto" w:line="240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8"/>
        <w:gridCol w:w="2339"/>
        <w:gridCol w:w="2319"/>
        <w:gridCol w:w="2357"/>
      </w:tblGrid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3.5. Цели предполагаемого правового регулирования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3.6. Индикаторы достижения целей предполагаемого правового регулирования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3.7. Ед. измерения индикаторов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3.8. Целевые значения индикаторов по годам</w:t>
            </w:r>
          </w:p>
        </w:tc>
      </w:tr>
      <w:tr>
        <w:trPr/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pacing w:lineRule="auto" w:line="240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3.9. Методы расчета индикаторов достижения целей предлагаемого правового регулирования, источники информации для расчетов:_______________________________</w:t>
      </w:r>
    </w:p>
    <w:p>
      <w:pPr>
        <w:pStyle w:val="6"/>
        <w:shd w:val="clear" w:fill="auto"/>
        <w:tabs>
          <w:tab w:val="clear" w:pos="708"/>
          <w:tab w:val="left" w:pos="9333" w:leader="underscore"/>
        </w:tabs>
        <w:spacing w:lineRule="auto" w:line="240" w:before="0" w:after="0"/>
        <w:ind w:left="0" w:right="0" w:hanging="0"/>
        <w:rPr/>
      </w:pPr>
      <w:r>
        <w:rPr>
          <w:sz w:val="24"/>
          <w:szCs w:val="24"/>
        </w:rPr>
        <w:t>_________________________________________________________________________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416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3.10. Оценка затрат на проведение мониторинга достижения целей предлагаемого правового регулирования:______________________________________________________</w:t>
        <w:tab/>
        <w:t>.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4. Качественная характеристика и оценка численности потенциальных адресатов  предлагаемого правового регулирования (их групп)</w:t>
      </w:r>
      <w:r>
        <w:rPr>
          <w:b/>
          <w:bCs/>
          <w:sz w:val="24"/>
          <w:szCs w:val="24"/>
        </w:rPr>
        <w:t>:</w:t>
      </w:r>
    </w:p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b/>
          <w:b/>
          <w:bCs/>
        </w:rPr>
      </w:pPr>
      <w:r>
        <w:rPr>
          <w:b/>
          <w:bCs/>
        </w:rPr>
      </w:r>
    </w:p>
    <w:tbl>
      <w:tblPr>
        <w:tblW w:w="935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118"/>
        <w:gridCol w:w="3118"/>
        <w:gridCol w:w="3118"/>
      </w:tblGrid>
      <w:tr>
        <w:trPr/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4.2. Количество участников группы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4.3. Источники данных</w:t>
            </w:r>
          </w:p>
        </w:tc>
      </w:tr>
      <w:tr>
        <w:trPr/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 </w:t>
      </w:r>
      <w:r>
        <w:rPr>
          <w:b w:val="false"/>
          <w:bCs w:val="false"/>
          <w:sz w:val="24"/>
          <w:szCs w:val="24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предполагаемого правового регулирования:_______________________________________________________</w:t>
      </w:r>
    </w:p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/>
      </w:pPr>
      <w:r>
        <w:rPr>
          <w:b w:val="false"/>
          <w:bCs w:val="false"/>
          <w:sz w:val="24"/>
          <w:szCs w:val="24"/>
        </w:rPr>
        <w:t>6. Оценка дополнительных расходов (доходов) местного бюджета, связанных с введением предлагаемого правового регулирования:________________________________________________________________</w:t>
      </w:r>
    </w:p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/>
      </w:pPr>
      <w:r>
        <w:rPr>
          <w:b w:val="false"/>
          <w:bCs w:val="false"/>
          <w:sz w:val="24"/>
          <w:szCs w:val="24"/>
        </w:rPr>
        <w:t>_________________________________________________________________________</w:t>
      </w:r>
    </w:p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8"/>
        <w:gridCol w:w="2339"/>
        <w:gridCol w:w="2319"/>
        <w:gridCol w:w="2357"/>
      </w:tblGrid>
      <w:tr>
        <w:trPr/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7.1. Группы потенциальных адресатов предлагаемого регулирования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7.4. Количественная оценка</w:t>
            </w:r>
          </w:p>
        </w:tc>
      </w:tr>
      <w:tr>
        <w:trPr/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6"/>
        <w:shd w:val="clear" w:fill="auto"/>
        <w:tabs>
          <w:tab w:val="clear" w:pos="708"/>
          <w:tab w:val="left" w:pos="1064" w:leader="none"/>
        </w:tabs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8. Оценка рисков неблагоприятных последствий применения предполагаемого правового регулирования:________________________________________________________________.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2013" w:leader="none"/>
          <w:tab w:val="left" w:pos="4178" w:leader="none"/>
          <w:tab w:val="left" w:pos="6424" w:leader="none"/>
          <w:tab w:val="left" w:pos="8536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9. Сравнение возможных вариантов решения проблемы:____________________________</w:t>
        <w:tab/>
        <w:t>.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274" w:leader="none"/>
        </w:tabs>
        <w:spacing w:lineRule="auto" w:line="240" w:before="0" w:after="24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10.Оценка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отношения:________________________________________________________________________________________________________________________________________________.</w:t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274" w:leader="none"/>
        </w:tabs>
        <w:spacing w:lineRule="auto" w:line="240" w:before="0" w:after="24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10.1. Предполагаемая дата вступления в силу нормативного правового акта:____________</w:t>
        <w:tab/>
      </w:r>
    </w:p>
    <w:p>
      <w:pPr>
        <w:pStyle w:val="6"/>
        <w:numPr>
          <w:ilvl w:val="0"/>
          <w:numId w:val="0"/>
        </w:numPr>
        <w:shd w:val="clear" w:fill="auto"/>
        <w:tabs>
          <w:tab w:val="clear" w:pos="708"/>
          <w:tab w:val="left" w:pos="1402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10.2. Необходимость установления переходного периода и (или) отсрочки введения предлагаемого правового регулирования:_________________________________________</w:t>
        <w:tab/>
        <w:t>.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402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10.3. Необходимость распространения предлагаемого правового регулирования на ранее возникшие отношения:________________________________________________________</w:t>
        <w:tab/>
        <w:t>.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402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10.4. Обоснование необходимости установления переходного периода и (или)отсрочки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отношения:______________</w:t>
      </w:r>
    </w:p>
    <w:p>
      <w:pPr>
        <w:pStyle w:val="Style36"/>
        <w:numPr>
          <w:ilvl w:val="0"/>
          <w:numId w:val="0"/>
        </w:numPr>
        <w:shd w:val="clear" w:fill="auto"/>
        <w:spacing w:lineRule="auto" w:line="240" w:before="0" w:after="0"/>
        <w:ind w:left="0" w:right="0" w:hanging="0"/>
        <w:rPr/>
      </w:pPr>
      <w:r>
        <w:rPr>
          <w:rStyle w:val="Style21"/>
          <w:sz w:val="24"/>
          <w:szCs w:val="24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274" w:leader="none"/>
          <w:tab w:val="right" w:pos="9350" w:leader="underscor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  <w:tab/>
        <w:t>.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397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воздействия:____________________________________________________.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Всего замечаний и предложений:___ из них учтено: полностью:___, частично:_____.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акта:__</w:t>
      </w:r>
    </w:p>
    <w:p>
      <w:pPr>
        <w:pStyle w:val="Style36"/>
        <w:numPr>
          <w:ilvl w:val="0"/>
          <w:numId w:val="0"/>
        </w:numPr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rPr/>
      </w:pPr>
      <w:r>
        <w:rPr>
          <w:sz w:val="24"/>
          <w:szCs w:val="24"/>
        </w:rPr>
        <w:t>_________________________________________________________________________.</w:t>
      </w:r>
    </w:p>
    <w:p>
      <w:pPr>
        <w:pStyle w:val="Style36"/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6"/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contextualSpacing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>Приложение №2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организации и проведения процедуры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регулирующего воздействия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проектов муниципальных нормативных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правовых актов и экспертизы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нормативных правовых актов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об оценке регулирующего воздействия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>
      <w:pPr>
        <w:pStyle w:val="ConsPlusNormal"/>
        <w:spacing w:before="24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проекта муниципального нормативного правового акта)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в соответствии с 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(нормативный правовой акт,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уполномоченного органа) устанавливающий порядок проведения оценки регулирующего воздействия)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(далее - Правила проведения оценки регулирующего воздействия) рассмотрел проект_______________________________________________________________________________________________________________________________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проекта нормативного правового акта)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(далее соответственно - проект акта), подготовленный и направленный для подготовки настоящего заключения____________________________________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органа - разработчика)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сообщает следующее.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акта направлен органом - разработчиком для подготовки настоящего заключения __________________________________________________________________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(впервые/повторно)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_______________________________________________________________&lt;1&gt;,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(информация о предшествующей подготовке заключения об оценке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регулирующего воздействия проекта акта)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Проведены публичные консультации сроки с ____________ по __________.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об оценке регулирующего воздействия проекта акта размещена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официальном сайте по адресу ______________________________________.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(полный электронный адрес размещения проекта акта)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проведенной оценки регулирующего воздействия проекта акта с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учетом информации, представленной разработчиком в сводном отчете,____________________________________________________________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уполномоченного органа) сделаны следующие выводы &lt;2&gt;:______________________________________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__________________________________________________________________.</w:t>
      </w:r>
    </w:p>
    <w:p>
      <w:pPr>
        <w:pStyle w:val="ConsPlusNormal"/>
        <w:spacing w:before="24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(вывод о наличии либо отсутствии достаточного обоснования</w:t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решения проблемы предложенным способом регулирования)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>
      <w:pPr>
        <w:pStyle w:val="ConsPlusNormal"/>
        <w:spacing w:before="24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(вывод о наличии либо отсутствии положений, вводящих избыточные</w:t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обязанности, запреты и ограничения для субъектов предпринимательской</w:t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инвестиционной деятельности или способствующих их введению, а также</w:t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положений, приводящих к возникновению необоснованных расходов</w:t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субъектов предпринимательской и инвестиционной деятельности,</w:t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также местного бюджета)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>
      <w:pPr>
        <w:pStyle w:val="ConsPlusNormal"/>
        <w:spacing w:before="24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(обоснование выводов, а также иные замечания и предложения)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(при наличии) на приложения.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 И.О. Фамилия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(подпись уполномоченного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должностного лица)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&lt;1&gt; Указывается в случае направления органом-разработчиком проекта акта повторно.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&lt;2&gt; В случае если по результатам оценки регулирующего воздействия выявлено отсутствие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местного бюджета, и установлено наличие достаточного обоснования решения проблемы предложенным способом регулирования,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требуется.</w:t>
      </w:r>
    </w:p>
    <w:p>
      <w:pPr>
        <w:pStyle w:val="Style36"/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№3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организации и проведения процедуры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регулирующего воздействия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проектов муниципальных нормативных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правовых актов и экспертизы</w:t>
      </w:r>
    </w:p>
    <w:p>
      <w:pPr>
        <w:pStyle w:val="ConsPlusNormal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муниципальных</w:t>
      </w:r>
    </w:p>
    <w:p>
      <w:pPr>
        <w:pStyle w:val="ConsPlusNormal"/>
        <w:spacing w:lineRule="auto" w:line="240"/>
        <w:ind w:left="0" w:right="0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нормативных правовых актов</w:t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4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об экспертизе</w:t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 в соответствии с ______________________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уполномоченного (нормативный правовой акт,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органа) устанавливающий порядок проведения экспертизы)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(далее - Правила проведения экспертизы) рассмотрел ______________________________________________ и сообщает следующее.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нормативного правового акта)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заключение подготовлено______________________________&lt;1&gt;.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(впервые/повторно)_________________________________________________</w:t>
      </w:r>
    </w:p>
    <w:p>
      <w:pPr>
        <w:pStyle w:val="ConsPlusNormal"/>
        <w:spacing w:lineRule="auto" w:line="240" w:before="24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(информация о предшествующей подготовке заключения об экспертизе</w:t>
      </w:r>
    </w:p>
    <w:p>
      <w:pPr>
        <w:pStyle w:val="ConsPlusNormal"/>
        <w:spacing w:lineRule="auto" w:line="24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нормативного правового акта)</w:t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Уполномоченным органом проведены публичные консультации в сроки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_____________ по __________________.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об экспертизе нормативного правового акта размещена уполномоченным органом на официальном сайте по адресу: __________________________________________________________________.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основе проведенной экспертизы нормативного правового акта сделаны следующие выводы______________________________________________________ &lt;2&gt;: </w:t>
      </w:r>
    </w:p>
    <w:p>
      <w:pPr>
        <w:pStyle w:val="ConsPlusNormal"/>
        <w:spacing w:lineRule="auto" w:line="240" w:before="24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__________________________________________________________________.</w:t>
      </w:r>
    </w:p>
    <w:p>
      <w:pPr>
        <w:pStyle w:val="ConsPlusNormal"/>
        <w:spacing w:lineRule="auto" w:line="240" w:before="24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(вывод о наличии либо отсутствии положений,</w:t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необоснованно затрудняющих осуществление предпринимательской и инвестиционной деятельности)</w:t>
      </w:r>
    </w:p>
    <w:p>
      <w:pPr>
        <w:pStyle w:val="ConsPlusNormal"/>
        <w:spacing w:lineRule="auto" w:line="240" w:before="24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____________________________________________________________________________________________________________________________________.</w:t>
      </w:r>
    </w:p>
    <w:p>
      <w:pPr>
        <w:pStyle w:val="ConsPlusNormal"/>
        <w:spacing w:lineRule="auto" w:line="240" w:before="24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(обоснование выводов, а также иные замечания и предложения)</w:t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Указание (при наличии) на приложения.</w:t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lineRule="auto" w:line="24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 И.О. Фамилия</w:t>
      </w:r>
    </w:p>
    <w:p>
      <w:pPr>
        <w:pStyle w:val="ConsPlusNormal"/>
        <w:spacing w:lineRule="auto" w:line="240" w:before="240" w:after="0"/>
        <w:ind w:left="0"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(подпись уполномоченного должностного лица)</w:t>
      </w:r>
    </w:p>
    <w:p>
      <w:pPr>
        <w:pStyle w:val="ConsPlusNormal"/>
        <w:widowControl w:val="false"/>
        <w:numPr>
          <w:ilvl w:val="0"/>
          <w:numId w:val="0"/>
        </w:numPr>
        <w:spacing w:lineRule="auto" w:line="240" w:before="240" w:after="0"/>
        <w:ind w:left="0" w:right="0" w:firstLine="540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24"/>
        <w:numPr>
          <w:ilvl w:val="0"/>
          <w:numId w:val="0"/>
        </w:numPr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contextualSpacing/>
        <w:jc w:val="right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№ 4</w:t>
      </w:r>
    </w:p>
    <w:p>
      <w:pPr>
        <w:pStyle w:val="Style42"/>
        <w:spacing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к Порядку организации и  проведения процедуры</w:t>
      </w:r>
    </w:p>
    <w:p>
      <w:pPr>
        <w:pStyle w:val="Style42"/>
        <w:spacing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оценки регулирующего воздействия проектов </w:t>
      </w:r>
    </w:p>
    <w:p>
      <w:pPr>
        <w:pStyle w:val="Style42"/>
        <w:spacing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муниципальных правовых актов и экспертизы </w:t>
      </w:r>
    </w:p>
    <w:p>
      <w:pPr>
        <w:pStyle w:val="24"/>
        <w:numPr>
          <w:ilvl w:val="0"/>
          <w:numId w:val="0"/>
        </w:numPr>
        <w:shd w:val="clear" w:fill="auto"/>
        <w:tabs>
          <w:tab w:val="clear" w:pos="708"/>
          <w:tab w:val="left" w:pos="1366" w:leader="none"/>
        </w:tabs>
        <w:spacing w:lineRule="auto" w:line="240" w:before="0" w:after="0"/>
        <w:ind w:left="0" w:right="0" w:hanging="0"/>
        <w:contextualSpacing/>
        <w:jc w:val="right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муниципальных нормативных правовых актов </w:t>
      </w:r>
    </w:p>
    <w:p>
      <w:pPr>
        <w:pStyle w:val="24"/>
        <w:shd w:val="clear" w:fill="auto"/>
        <w:spacing w:lineRule="auto" w:line="240" w:before="0" w:after="243"/>
        <w:ind w:left="0" w:right="0" w:hanging="0"/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>
      <w:pPr>
        <w:pStyle w:val="24"/>
        <w:shd w:val="clear" w:fill="auto"/>
        <w:spacing w:lineRule="auto" w:line="240" w:before="0" w:after="243"/>
        <w:ind w:left="0" w:right="0" w:hanging="0"/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>
      <w:pPr>
        <w:pStyle w:val="24"/>
        <w:shd w:val="clear" w:fill="auto"/>
        <w:spacing w:lineRule="auto" w:line="240" w:before="0" w:after="243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Сводка предложений</w:t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Ссылка на проект:</w:t>
        <w:tab/>
        <w:t>__________________</w:t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Дата проведения публичного обсуждения:</w:t>
        <w:tab/>
        <w:t>__________________</w:t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экспертов, участвовавших в обсуждении:__________________</w:t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Отчет сгенерирован:_______________________________________________</w:t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6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50"/>
        <w:gridCol w:w="2836"/>
        <w:gridCol w:w="3058"/>
        <w:gridCol w:w="2515"/>
      </w:tblGrid>
      <w:tr>
        <w:trPr/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№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Участник обсуждения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Позиция участника обсуждения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Комментарии разработчика</w:t>
            </w:r>
          </w:p>
        </w:tc>
      </w:tr>
      <w:tr>
        <w:trPr/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Style25"/>
        <w:spacing w:lineRule="auto" w:line="240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6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49"/>
        <w:gridCol w:w="1710"/>
      </w:tblGrid>
      <w:tr>
        <w:trPr/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Общее количество поступивших предложений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6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Общее количество учтенных предложений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6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Общее количество частично учтенных предложений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6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Общее количество неучтенных предложений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5"/>
              <w:spacing w:lineRule="auto" w:line="24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      «__»__________201_г.   __________________</w:t>
      </w:r>
    </w:p>
    <w:p>
      <w:pPr>
        <w:pStyle w:val="24"/>
        <w:shd w:val="clear" w:fill="auto"/>
        <w:tabs>
          <w:tab w:val="clear" w:pos="708"/>
          <w:tab w:val="left" w:pos="6374" w:leader="underscore"/>
        </w:tabs>
        <w:spacing w:lineRule="auto" w:line="240" w:before="0" w:after="0"/>
        <w:ind w:left="0" w:right="0" w:hanging="0"/>
        <w:jc w:val="both"/>
        <w:rPr/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>ФИО руководителя                      дата                                подпись</w:t>
      </w:r>
    </w:p>
    <w:sectPr>
      <w:type w:val="nextPage"/>
      <w:pgSz w:w="11906" w:h="16838"/>
      <w:pgMar w:left="1985" w:right="567" w:header="0" w:top="1134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rebuchet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widowControl w:val="false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styleId="DefaultParagraphFont">
    <w:name w:val="Default Paragraph Font"/>
    <w:qFormat/>
    <w:rPr/>
  </w:style>
  <w:style w:type="character" w:styleId="Style13">
    <w:name w:val="Гипертекстовая ссылка"/>
    <w:basedOn w:val="DefaultParagraphFont"/>
    <w:qFormat/>
    <w:rPr>
      <w:rFonts w:cs="Times New Roman"/>
      <w:color w:val="008000"/>
    </w:rPr>
  </w:style>
  <w:style w:type="character" w:styleId="11">
    <w:name w:val="Заголовок 1 Знак"/>
    <w:basedOn w:val="DefaultParagraphFont"/>
    <w:qFormat/>
    <w:rPr>
      <w:rFonts w:ascii="Arial" w:hAnsi="Arial" w:eastAsia="Times New Roman" w:cs="Arial"/>
      <w:b/>
      <w:bCs/>
      <w:color w:val="000080"/>
      <w:sz w:val="24"/>
      <w:szCs w:val="24"/>
    </w:rPr>
  </w:style>
  <w:style w:type="character" w:styleId="Style14">
    <w:name w:val="Верхний колонтитул Знак"/>
    <w:basedOn w:val="DefaultParagraphFont"/>
    <w:qFormat/>
    <w:rPr>
      <w:sz w:val="24"/>
      <w:szCs w:val="24"/>
    </w:rPr>
  </w:style>
  <w:style w:type="character" w:styleId="Style15">
    <w:name w:val="Нижний колонтитул Знак"/>
    <w:basedOn w:val="DefaultParagraphFont"/>
    <w:qFormat/>
    <w:rPr>
      <w:sz w:val="24"/>
      <w:szCs w:val="24"/>
    </w:rPr>
  </w:style>
  <w:style w:type="character" w:styleId="FontStyle12">
    <w:name w:val="Font Style12"/>
    <w:basedOn w:val="DefaultParagraphFont"/>
    <w:qFormat/>
    <w:rPr>
      <w:rFonts w:ascii="Times New Roman" w:hAnsi="Times New Roman" w:cs="Times New Roman"/>
      <w:sz w:val="26"/>
      <w:szCs w:val="26"/>
    </w:rPr>
  </w:style>
  <w:style w:type="character" w:styleId="Style16">
    <w:name w:val="Название Знак"/>
    <w:basedOn w:val="DefaultParagraphFont"/>
    <w:qFormat/>
    <w:rPr>
      <w:sz w:val="28"/>
      <w:szCs w:val="24"/>
      <w:lang w:eastAsia="ar-SA"/>
    </w:rPr>
  </w:style>
  <w:style w:type="character" w:styleId="Style17">
    <w:name w:val="Подзаголовок Знак"/>
    <w:basedOn w:val="DefaultParagraphFont"/>
    <w:qFormat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character" w:styleId="WW8Num6z0">
    <w:name w:val="WW8Num6z0"/>
    <w:qFormat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vertAlign w:val="baseline"/>
      <w:lang w:val="ru-RU" w:bidi="ru-RU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5z0">
    <w:name w:val="WW8Num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vertAlign w:val="baseline"/>
      <w:lang w:val="ru-RU" w:bidi="ru-RU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ru-RU" w:bidi="ru-RU"/>
    </w:rPr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z0">
    <w:name w:val="WW8Num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ru-RU" w:bidi="ru-RU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7z0">
    <w:name w:val="WW8Num7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ru-RU" w:bidi="ru-RU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ru-RU" w:bidi="ru-RU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9">
    <w:name w:val="Основной шрифт абзаца"/>
    <w:qFormat/>
    <w:rPr/>
  </w:style>
  <w:style w:type="character" w:styleId="Style20">
    <w:name w:val="Оглавление_"/>
    <w:basedOn w:val="Style1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Style21">
    <w:name w:val="Оглавление"/>
    <w:basedOn w:val="Style20"/>
    <w:qFormat/>
    <w:rPr>
      <w:color w:val="000000"/>
      <w:spacing w:val="0"/>
      <w:w w:val="100"/>
      <w:position w:val="0"/>
      <w:sz w:val="24"/>
      <w:sz w:val="24"/>
      <w:szCs w:val="24"/>
      <w:u w:val="single"/>
      <w:vertAlign w:val="baseline"/>
      <w:lang w:val="ru-RU" w:bidi="ru-RU"/>
    </w:rPr>
  </w:style>
  <w:style w:type="character" w:styleId="2">
    <w:name w:val="Основной текст (2)_"/>
    <w:basedOn w:val="Style1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9pt">
    <w:name w:val="Основной текст (2) + 9 pt;Полужирный"/>
    <w:basedOn w:val="2"/>
    <w:qFormat/>
    <w:rPr>
      <w:b/>
      <w:bCs/>
      <w:color w:val="000000"/>
      <w:spacing w:val="0"/>
      <w:w w:val="100"/>
      <w:position w:val="0"/>
      <w:sz w:val="18"/>
      <w:sz w:val="18"/>
      <w:szCs w:val="18"/>
      <w:vertAlign w:val="baseline"/>
      <w:lang w:val="ru-RU" w:bidi="ru-RU"/>
    </w:rPr>
  </w:style>
  <w:style w:type="character" w:styleId="Style22">
    <w:name w:val="Символ нумерации"/>
    <w:qFormat/>
    <w:rPr/>
  </w:style>
  <w:style w:type="character" w:styleId="Style23">
    <w:name w:val="Маркеры списка"/>
    <w:qFormat/>
    <w:rPr>
      <w:rFonts w:ascii="OpenSymbol" w:hAnsi="OpenSymbol" w:eastAsia="OpenSymbol" w:cs="OpenSymbol"/>
    </w:rPr>
  </w:style>
  <w:style w:type="character" w:styleId="21">
    <w:name w:val="Основной текст (2)"/>
    <w:basedOn w:val="2"/>
    <w:qFormat/>
    <w:rPr>
      <w:color w:val="000000"/>
      <w:spacing w:val="0"/>
      <w:w w:val="100"/>
      <w:position w:val="0"/>
      <w:sz w:val="28"/>
      <w:sz w:val="28"/>
      <w:u w:val="single"/>
      <w:vertAlign w:val="baseline"/>
      <w:lang w:val="ru-RU" w:bidi="ru-RU"/>
    </w:rPr>
  </w:style>
  <w:style w:type="character" w:styleId="22">
    <w:name w:val="Оглавление (2)_"/>
    <w:basedOn w:val="Style1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3">
    <w:name w:val="Оглавление (2)"/>
    <w:basedOn w:val="22"/>
    <w:qFormat/>
    <w:rPr>
      <w:color w:val="000000"/>
      <w:spacing w:val="0"/>
      <w:w w:val="100"/>
      <w:position w:val="0"/>
      <w:sz w:val="28"/>
      <w:sz w:val="28"/>
      <w:u w:val="single"/>
      <w:vertAlign w:val="baseline"/>
      <w:lang w:val="ru-RU" w:bidi="ru-RU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5">
    <w:name w:val="Body Text"/>
    <w:basedOn w:val="Normal"/>
    <w:pPr>
      <w:spacing w:lineRule="auto" w:line="276" w:before="0" w:after="140"/>
    </w:pPr>
    <w:rPr/>
  </w:style>
  <w:style w:type="paragraph" w:styleId="Style26">
    <w:name w:val="List"/>
    <w:basedOn w:val="Style25"/>
    <w:pPr/>
    <w:rPr>
      <w:rFonts w:cs="Ari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suppressAutoHyphens w:val="true"/>
      <w:overflowPunct w:val="tru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NoSpacing">
    <w:name w:val="No Spacing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Style41">
    <w:name w:val="Style4"/>
    <w:basedOn w:val="Normal"/>
    <w:qFormat/>
    <w:pPr>
      <w:widowControl w:val="false"/>
      <w:spacing w:lineRule="exact" w:line="468"/>
      <w:ind w:left="0" w:right="0" w:firstLine="706"/>
      <w:jc w:val="both"/>
    </w:pPr>
    <w:rPr/>
  </w:style>
  <w:style w:type="paragraph" w:styleId="Style32">
    <w:name w:val="Style3"/>
    <w:basedOn w:val="Normal"/>
    <w:qFormat/>
    <w:pPr>
      <w:widowControl w:val="false"/>
      <w:spacing w:lineRule="exact" w:line="466"/>
      <w:ind w:left="0" w:right="0" w:firstLine="725"/>
      <w:jc w:val="both"/>
    </w:pPr>
    <w:rPr/>
  </w:style>
  <w:style w:type="paragraph" w:styleId="Style81">
    <w:name w:val="Style8"/>
    <w:basedOn w:val="Normal"/>
    <w:qFormat/>
    <w:pPr>
      <w:widowControl w:val="false"/>
      <w:spacing w:lineRule="exact" w:line="475"/>
      <w:ind w:left="0" w:right="0" w:hanging="353"/>
    </w:pPr>
    <w:rPr/>
  </w:style>
  <w:style w:type="paragraph" w:styleId="Style33">
    <w:name w:val="Title"/>
    <w:basedOn w:val="Normal"/>
    <w:next w:val="Normal"/>
    <w:qFormat/>
    <w:pPr>
      <w:suppressAutoHyphens w:val="true"/>
      <w:jc w:val="center"/>
    </w:pPr>
    <w:rPr>
      <w:sz w:val="28"/>
      <w:lang w:eastAsia="ar-SA"/>
    </w:rPr>
  </w:style>
  <w:style w:type="paragraph" w:styleId="Style34">
    <w:name w:val="Subtitle"/>
    <w:basedOn w:val="Normal"/>
    <w:next w:val="Normal"/>
    <w:qFormat/>
    <w:pPr/>
    <w:rPr>
      <w:rFonts w:ascii="Cambria" w:hAnsi="Cambria" w:eastAsia="Times New Roman" w:cs="Times New Roman"/>
      <w:i/>
      <w:iCs/>
      <w:color w:val="4F81BD"/>
      <w:spacing w:val="15"/>
    </w:rPr>
  </w:style>
  <w:style w:type="paragraph" w:styleId="24">
    <w:name w:val="Основной текст (2)"/>
    <w:basedOn w:val="Normal"/>
    <w:qFormat/>
    <w:pPr>
      <w:widowControl w:val="false"/>
      <w:shd w:val="clear" w:fill="FFFFFF"/>
      <w:spacing w:lineRule="exact" w:line="461" w:before="240" w:after="0"/>
      <w:ind w:left="0" w:right="0" w:hanging="1600"/>
      <w:jc w:val="both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paragraph" w:styleId="Style35">
    <w:name w:val="Содержимое таблицы"/>
    <w:basedOn w:val="Normal"/>
    <w:qFormat/>
    <w:pPr>
      <w:suppressLineNumbers/>
    </w:pPr>
    <w:rPr/>
  </w:style>
  <w:style w:type="paragraph" w:styleId="6">
    <w:name w:val="Основной текст (6)"/>
    <w:basedOn w:val="Normal"/>
    <w:qFormat/>
    <w:pPr>
      <w:widowControl w:val="false"/>
      <w:shd w:val="clear" w:fill="FFFFFF"/>
      <w:spacing w:lineRule="auto" w:line="240" w:before="360" w:after="360"/>
      <w:jc w:val="both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paragraph" w:styleId="3">
    <w:name w:val="Основной текст (3)"/>
    <w:basedOn w:val="Normal"/>
    <w:qFormat/>
    <w:pPr>
      <w:widowControl w:val="false"/>
      <w:shd w:val="clear" w:fill="FFFFFF"/>
      <w:spacing w:lineRule="exact" w:line="322" w:before="0" w:after="480"/>
      <w:ind w:left="0" w:right="0" w:hanging="540"/>
      <w:jc w:val="center"/>
    </w:pPr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paragraph" w:styleId="Style36">
    <w:name w:val="Оглавление"/>
    <w:basedOn w:val="Normal"/>
    <w:qFormat/>
    <w:pPr>
      <w:widowControl w:val="false"/>
      <w:shd w:val="clear" w:fill="FFFFFF"/>
      <w:spacing w:lineRule="exact" w:line="274" w:before="360" w:after="0"/>
      <w:jc w:val="both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paragraph" w:styleId="Style37">
    <w:name w:val="Подпись к таблице"/>
    <w:basedOn w:val="Normal"/>
    <w:qFormat/>
    <w:pPr>
      <w:widowControl w:val="false"/>
      <w:shd w:val="clear" w:fill="FFFFFF"/>
      <w:spacing w:lineRule="auto" w:line="240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paragraph" w:styleId="Style38">
    <w:name w:val="Содержимое врезки"/>
    <w:basedOn w:val="Normal"/>
    <w:qFormat/>
    <w:pPr/>
    <w:rPr/>
  </w:style>
  <w:style w:type="paragraph" w:styleId="Style39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8">
    <w:name w:val="Основной текст (8)"/>
    <w:basedOn w:val="Normal"/>
    <w:qFormat/>
    <w:pPr>
      <w:widowControl w:val="false"/>
      <w:shd w:val="clear" w:fill="FFFFFF"/>
      <w:spacing w:lineRule="exact" w:line="206" w:before="4020" w:after="0"/>
      <w:jc w:val="both"/>
    </w:pPr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16"/>
      <w:szCs w:val="16"/>
      <w:u w:val="none"/>
    </w:rPr>
  </w:style>
  <w:style w:type="paragraph" w:styleId="Style40">
    <w:name w:val="Колонтитул"/>
    <w:basedOn w:val="Normal"/>
    <w:qFormat/>
    <w:pPr>
      <w:widowControl w:val="false"/>
      <w:shd w:val="clear" w:fill="FFFFFF"/>
      <w:spacing w:lineRule="auto" w:line="240"/>
    </w:pPr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paragraph" w:styleId="7">
    <w:name w:val="Основной текст (7)"/>
    <w:basedOn w:val="Normal"/>
    <w:qFormat/>
    <w:pPr>
      <w:widowControl w:val="false"/>
      <w:shd w:val="clear" w:fill="FFFFFF"/>
      <w:spacing w:lineRule="auto" w:line="240" w:before="60" w:after="0"/>
      <w:jc w:val="both"/>
    </w:pPr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spacing w:val="-20"/>
      <w:sz w:val="20"/>
      <w:szCs w:val="20"/>
      <w:u w:val="none"/>
    </w:rPr>
  </w:style>
  <w:style w:type="paragraph" w:styleId="25">
    <w:name w:val="Оглавление (2)"/>
    <w:basedOn w:val="Normal"/>
    <w:qFormat/>
    <w:pPr>
      <w:widowControl w:val="false"/>
      <w:shd w:val="clear" w:fill="FFFFFF"/>
      <w:spacing w:lineRule="exact" w:line="317"/>
      <w:jc w:val="both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paragraph" w:styleId="Style42">
    <w:name w:val="Без интервала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numbering" w:styleId="NoList">
    <w:name w:val="No List"/>
    <w:qFormat/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10">
    <w:name w:val="WW8Num10"/>
    <w:qFormat/>
  </w:style>
  <w:style w:type="numbering" w:styleId="WW8Num1">
    <w:name w:val="WW8Num1"/>
    <w:qFormat/>
  </w:style>
  <w:style w:type="numbering" w:styleId="WW8Num7">
    <w:name w:val="WW8Num7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Application>LibreOffice/6.4.4.2$Windows_X86_64 LibreOffice_project/3d775be2011f3886db32dfd395a6a6d1ca2630ff</Application>
  <Pages>14</Pages>
  <Words>3916</Words>
  <Characters>34488</Characters>
  <CharactersWithSpaces>38764</CharactersWithSpaces>
  <Paragraphs>292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2015-03-16T05:20:00Z</dcterms:created>
  <dc:creator>Якушенко</dc:creator>
  <dc:description/>
  <dc:language>ru-RU</dc:language>
  <cp:lastModifiedBy/>
  <cp:lastPrinted>2023-09-15T10:13:22Z</cp:lastPrinted>
  <dcterms:modified xsi:type="dcterms:W3CDTF">2023-09-15T10:15:50Z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