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Georgia" w:hAnsi="Georgia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Georgia" w:hAnsi="Georgia"/>
          <w:color w:val="000000"/>
          <w:sz w:val="20"/>
          <w:szCs w:val="20"/>
          <w:lang w:eastAsia="ru-RU"/>
        </w:rPr>
      </w:r>
    </w:p>
    <w:p>
      <w:pPr>
        <w:pStyle w:val="ConsPlusNormal"/>
        <w:widowControl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50"/>
        <w:gridCol w:w="5789"/>
      </w:tblGrid>
      <w:tr>
        <w:trPr>
          <w:trHeight w:val="898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 время.</w:t>
            </w:r>
          </w:p>
        </w:tc>
      </w:tr>
      <w:tr>
        <w:trPr>
          <w:trHeight w:val="2901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оказание   материальной и социальной  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  вовлечение подростков  и молодежи в социально значимую и полезную  трудовую деятельность;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-содействие в профессиональном  самоопределении подросткам и молодежи  в возрасте  от 14 до 18 лет;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-профилактика подростковой  безнадзорности и предупреждение  правонарушений среди несовершеннолетних  граждан.</w:t>
            </w:r>
          </w:p>
        </w:tc>
      </w:tr>
      <w:tr>
        <w:trPr>
          <w:trHeight w:val="602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2023 годы</w:t>
            </w:r>
          </w:p>
        </w:tc>
      </w:tr>
      <w:tr>
        <w:trPr>
          <w:trHeight w:val="169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 финансирования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Объем финансирования муниципальной программы за счет средств областного бюджета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505,0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2016 год- 55,8 тыс. руб.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2019 год- 78,8 тыс.руб.   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2021 год- 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74,7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2022 год-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74,7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2023 год-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74,7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тыс.руб</w:t>
            </w:r>
          </w:p>
        </w:tc>
      </w:tr>
      <w:tr>
        <w:trPr>
          <w:trHeight w:val="1064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 к 2023 году составит до 284 человека, в том числе из семей социального риска не менее  50 человек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1.Общая характеристика сферы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Верхнехавском муниципальном районе сложилась определенная система работы    по организации временного трудоустройства подростков и молодежи. Этому предшествовала плодотворная работа отдела образования, физической культуры и спорта администрации Верхнехавского муниципального района и ГКУ ВО ЦЗН Верхнехавского муниципального района.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Недостаточный материальный уровень доходов большей части населения изменил жизненную позицию   подростков и молодежи. Многие из них стремятся заработать деньги, помочь своей семье.  Особенно уязвима та категория молодых людей, которые    воспитываются в малообеспеченных семьях и семьях социального риска.   Предусматриваемые   денежные средства в рамках реализации мероприятий по временному трудоустройству были направлены на выплату заработной платы    подросткам и молодежи за фактически отработанное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молодежи,  администрация   Верхнехавского муниципального района совместно с ГКУ ВО Центр занятости населения Верхнехавского района ежегодно   обеспечивают  предоставление гарантий занятости, в том числе несовершеннолетним  гражданам.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Необходимость использования комплексного подхода к решению    задач в сфере организации временного трудоустройства подростков и молодежи обуславливает решение   проблемы программно-целевым методом.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Принятие муниципальной программы «Содействие занятости населения в Верхнехавском муниципальном районе (далее-Программа) позволит, прежде всего: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-обеспечить временную внеурочную занятость подростков и молодежи;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-привлечь   к трудовой деятельности подростков, состоящих на учете в комиссии по делам несовершеннолетних и защите их прав;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-оказать материальную поддержку    подросткам и молодежи, из семей социального риска.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молодежи - важнейшая социальная задача. Первый опыт работы помогает молодому человеку осознать себя нужным и полезным членом общества, подготовиться к самостоятельной жизни.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призвана стимулировать инициативность подростков, стремление попробовать свои силы в различных видах деятельности.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несовершеннолетних граждан - одно из приоритетных направлений реализации молодежной политики в Верхнехавском муниципальном районе в рамках содействия занятости и организации мероприятий по профилактике правонарушений.                          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Деятельность по организации трудоустройства данной категории граждан осуществляется совместно с ГКУ ВО Центр занятости населения Верхнехавского района, отделом образования, физической культуры и спорта администрации Верхнехавского муниципального района, образовательными учреждениями Верхнехавского муниципального района.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Согласно программным мероприятиям, с 2016 года по 2023 год на организацию мероприятий   в рамках временного трудоустройства подростков и молодежи из областного бюджета будут выделены денежные средства   в сумме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 xml:space="preserve">505,0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тыс. рублей, в том числе по годам: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2016 год- 55,8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 год- 67,5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2018 год- 78,8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2019 год- 78,8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2020 год-  0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2021 год —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74,7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2022 год-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74,7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2023 год-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74,7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Некоторые итоги трудоустройства несовершеннолетних граждан в каникулярные за 2013 -2015 годы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 годов осуществлял работу по организации временных рабочих мест несовершеннолетних граждан, не только в каникулярное, но и в свободное от учебы время, что способствовало обеспечению временной занятости подростков и молодежи, прежде всего, из семей социального риска.  Работы, организуемые для несовершеннолетних граждан, имели социально-полезную направленность, а именно: благоустройство территории школ, пришкольных территорий, парков, скверов.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каждым годом отмечается рост активности подростков, желающих принимать   участие во временных работах    в каникулярные периоды и в свободное от учебы время. Групповые формы организации трудовой деятельности позволили    охватить   максимальное количество подростков, в том числе   находящихся в сложной жизненной ситуации.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Информация   о привлечении дополнительных средств из областного бюджета на организацию временной трудовой занятости подростков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8913" w:type="dxa"/>
        <w:jc w:val="left"/>
        <w:tblInd w:w="9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3"/>
        <w:gridCol w:w="1620"/>
        <w:gridCol w:w="2307"/>
        <w:gridCol w:w="1566"/>
        <w:gridCol w:w="2207"/>
      </w:tblGrid>
      <w:tr>
        <w:trPr/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трудоуст-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роенных подростков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занятости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несовершен-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Статьи расходов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 2014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14522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26991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>
          <w:trHeight w:val="2790" w:hRule="atLeast"/>
        </w:trPr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12412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Также большое значение имеет   данная Программа по предоставлению   возможности для подростков и молодежи трудоустроиться индивидуально.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Ежегодно в целях   профилактики   безнадзорности и правонарушений активная социальная работа проводится 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с детьми и подростками на площадках по месту жительства, в лагерях дневного пребывания.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Анализ реализации мероприятий по трудоустройству подростков и молодежи за предыдущие периоды показывает, что   с каждым годом растет количество подростков, желающих   работать в каникулярное и свободное от учебы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3. Приоритеты муниципальной политики в сфере реализации муниципальной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jc w:val="left"/>
        <w:tblInd w:w="-74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7"/>
        <w:gridCol w:w="1501"/>
        <w:gridCol w:w="2120"/>
        <w:gridCol w:w="1522"/>
        <w:gridCol w:w="1705"/>
      </w:tblGrid>
      <w:tr>
        <w:trPr/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финанси-рования</w:t>
            </w:r>
          </w:p>
        </w:tc>
      </w:tr>
      <w:tr>
        <w:trPr/>
        <w:tc>
          <w:tcPr>
            <w:tcW w:w="9355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     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1.Организационная работа по трудоустройству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 Организационная работа   с образова-тельными учреждениями района по выявлению   желающих   трудоустроится в каникулярный период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заявок,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Март-май  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1.2.Проведение мероприятий  профориентационной направленности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банка данных рабочих мест   для  учащейся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9355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2.Организация и проведение временного трудоустройства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2.1.Заключение договоров с работодателями.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Привлечение  работодателей   к временному трудоустройству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 01 июня  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В соответствии с заявками, направление   учащихся и студентов  в  учреждения  и  предприятия  работодателей 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Организация  трудовой деятельности  в соответствии с объемами  и видами работ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,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работодатели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2.3.Подготовка  пакета документов для оплаты  труда подросткам и молодежи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Оплата  труда    подросткам и молодежи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учреждения,      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пакета документов для оплаты  труда подросткам и молодежи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2.4. Организация контроля  по проведению   занятости несовершеннолетних   в каникулярные периоды и в свободное от учебы время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Июнь-ноябрь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2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2.6. Подведение итогов  по организации   трудовой занятости подростков  и молодежи в каникулярные периоды и в сводное от учебы  время.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Составление аналитической информации- отчета о реализации мероприятий.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4. Обоснование выделения подпрограмм и обобщенная характеристика основных мероприятий.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Ресурсное обеспечение 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Особенности трудоустройства лиц    в возрасте до 18 лет регулируются    главой 42 Трудового кодекса Российской Федерации (далее- ТК РФ).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Выполнение подростками работ, которые не влияют на их здоровье и развитие, а также не препятствуют получению образования, помогает   подросткам    получить навыки и опыт.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ст.63 ТК РФ «Возраст, с которого допускается    заключение трудового договора» заключение трудового договора возможно с лицами, достигшими возраста 16 лет. С согласия одного из родителей (попечителя) и органа опеки и попечительства трудовой договор может быть заключен с учащимися, достигшими   возраста    14 лет, для выполнения в свободное от учебы время легкого труда, не причиняющего вреда их здоровью и не нарушающего процесса обучения.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соответствии со ст. 271 «Оплата труда работников в возрасте до 18 лет при сокращенной продолжительности ежедневной работы» ТК РФ при повременной оплате труда заработная плата работникам в возрасте до 18 лет выплачивается с учетом сокращенной продолжительности работы.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Оплата труда работников   в возрасте до 18 лет, обучающихся в общеобразовательных учреждениях, образовательных учреждениях начального, среднего и высшего профессионального образования и работающих в свободное от учебы время, производится пропорционально отработанному времени или в зависимости от выработки.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 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Планируемая общая сумма денежных средств из областного бюджета, в рамках реализации Программы на 2016-2023 годы, составит: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lang w:val="ru-RU" w:eastAsia="ru-RU" w:bidi="ar-SA"/>
        </w:rPr>
        <w:t>505,0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 рублей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6.Оценка эффективности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 результате реализации Программы будут достигнуты следующие результаты: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участвующих в мероприятиях, в рамках организации временного трудоустройства в каникулярные периоды и в свободное от учебы время    в общем количестве учащейся молодежи в возрасте до 20 лет – до 8 %;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находящихся в сложной жизненной ситуации, в том числе из семей социального риска, вовлеченных в программные мероприятия в целях профилактики  асоциального  поведения, правонарушений и безнадзорности  в молодежной среде - до  70%;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63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0"/>
        <w:gridCol w:w="4918"/>
      </w:tblGrid>
      <w:tr>
        <w:trPr>
          <w:trHeight w:val="750" w:hRule="atLeast"/>
        </w:trPr>
        <w:tc>
          <w:tcPr>
            <w:tcW w:w="47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</w:p>
        </w:tc>
      </w:tr>
      <w:tr>
        <w:trPr>
          <w:trHeight w:val="2070" w:hRule="atLeast"/>
        </w:trPr>
        <w:tc>
          <w:tcPr>
            <w:tcW w:w="96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ПАСПОРТ</w:t>
              <w:br/>
              <w:t>муниципальной программы Верхнехавского муниципального района Муниципальная программа Верхнехавского муниципального района Воронежской области "Содействие занятости населения"</w:t>
            </w:r>
          </w:p>
        </w:tc>
      </w:tr>
      <w:tr>
        <w:trPr>
          <w:trHeight w:val="810" w:hRule="atLeast"/>
        </w:trPr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810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185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экономике и управлению муниципальным имуществом Верхнехавского муниципального района Воронежской области</w:t>
            </w:r>
          </w:p>
        </w:tc>
      </w:tr>
      <w:tr>
        <w:trPr>
          <w:trHeight w:val="664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</w:tr>
      <w:tr>
        <w:trPr>
          <w:trHeight w:val="855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Содействие временной занятости подростков и молодежи   в каникулярные периоды и в свободное от учебы время</w:t>
            </w:r>
          </w:p>
        </w:tc>
      </w:tr>
      <w:tr>
        <w:trPr>
          <w:trHeight w:val="3244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оказание   материальной и социальной 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 вовлечение подростков и молодежи в социально значимую и полезную трудовую деятельность;</w:t>
              <w:br/>
              <w:t>-содействие в профессиональном  самоопределении подросткам и молодежи  в возрасте  от 14 до 18 лет;</w:t>
              <w:br/>
              <w:t>-профилактика подростковой  безнадзорности и предупреждение  правонарушений среди несовершеннолетних  граждан.</w:t>
            </w:r>
          </w:p>
        </w:tc>
      </w:tr>
      <w:tr>
        <w:trPr>
          <w:trHeight w:val="846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Целевые индикаторы и показатели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810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Программа реализуется в один этап с 2016 по 2023 годы</w:t>
            </w:r>
          </w:p>
        </w:tc>
      </w:tr>
      <w:tr>
        <w:trPr>
          <w:trHeight w:val="3465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Объем финансирования муниципальной программы за счет средств областного бюджета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505,0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тыс.руб., в том числе по годам реализации:</w:t>
              <w:br/>
              <w:t xml:space="preserve">2016 год- 55,8 тыс. руб. </w:t>
              <w:br/>
              <w:t>2017 год- 67,5 тыс.руб.</w:t>
              <w:br/>
              <w:t>2018 год- 78,8 тыс.руб.</w:t>
              <w:br/>
              <w:t xml:space="preserve">2019 год-  78,8 тыс.руб.   </w:t>
              <w:br/>
              <w:t>2020 год-  0 тыс.руб.</w:t>
              <w:br/>
              <w:t xml:space="preserve">2021 год- 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тыс.руб.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2022 год-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тыс.руб.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2023 год-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тыс.руб</w:t>
            </w:r>
          </w:p>
        </w:tc>
      </w:tr>
      <w:tr>
        <w:trPr>
          <w:trHeight w:val="1545" w:hRule="atLeast"/>
        </w:trPr>
        <w:tc>
          <w:tcPr>
            <w:tcW w:w="47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 к 2023 году составит до 284 человека, в том числе из семей социального риска не менее 50 человек</w:t>
            </w:r>
          </w:p>
        </w:tc>
      </w:tr>
      <w:tr>
        <w:trPr>
          <w:trHeight w:val="375" w:hRule="atLeast"/>
        </w:trPr>
        <w:tc>
          <w:tcPr>
            <w:tcW w:w="472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4918" w:type="dxa"/>
            <w:tcBorders/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28"/>
                <w:szCs w:val="28"/>
                <w:lang w:eastAsia="ru-RU"/>
              </w:rPr>
            </w:pPr>
            <w:r>
              <w:rPr>
                <w:rFonts w:eastAsia="Times New Roman" w:cs="Arial CYR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38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 разрезе подпрограмм муниципальной программы. Объем финансирования указывается в</w:t>
            </w:r>
          </w:p>
        </w:tc>
      </w:tr>
      <w:tr>
        <w:trPr>
          <w:trHeight w:val="255" w:hRule="atLeast"/>
        </w:trPr>
        <w:tc>
          <w:tcPr>
            <w:tcW w:w="9638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тысячах рублей с точностью до второго знака после запятой</w:t>
            </w:r>
          </w:p>
        </w:tc>
      </w:tr>
      <w:tr>
        <w:trPr>
          <w:trHeight w:val="255" w:hRule="exact"/>
        </w:trPr>
        <w:tc>
          <w:tcPr>
            <w:tcW w:w="472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91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426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</w:t>
      </w:r>
    </w:p>
    <w:tbl>
      <w:tblPr>
        <w:tblW w:w="13603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5"/>
        <w:gridCol w:w="2646"/>
        <w:gridCol w:w="1208"/>
        <w:gridCol w:w="1481"/>
        <w:gridCol w:w="1185"/>
        <w:gridCol w:w="1143"/>
        <w:gridCol w:w="1125"/>
        <w:gridCol w:w="1081"/>
        <w:gridCol w:w="1082"/>
        <w:gridCol w:w="1125"/>
        <w:gridCol w:w="1130"/>
      </w:tblGrid>
      <w:tr>
        <w:trPr>
          <w:trHeight w:val="930" w:hRule="atLeast"/>
        </w:trPr>
        <w:tc>
          <w:tcPr>
            <w:tcW w:w="395" w:type="dxa"/>
            <w:tcBorders/>
            <w:shd w:color="auto" w:fill="auto" w:val="clear"/>
            <w:vAlign w:val="center"/>
          </w:tcPr>
          <w:p>
            <w:pPr>
              <w:pStyle w:val="Normal"/>
              <w:pageBreakBefore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  <w:bookmarkStart w:id="0" w:name="RANGE!A1%25252525252525253AI7"/>
            <w:bookmarkStart w:id="1" w:name="RANGE!A1%25252525252525253AI7"/>
            <w:bookmarkEnd w:id="1"/>
          </w:p>
        </w:tc>
        <w:tc>
          <w:tcPr>
            <w:tcW w:w="264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0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8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871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>
        <w:trPr>
          <w:trHeight w:val="1155" w:hRule="atLeast"/>
        </w:trPr>
        <w:tc>
          <w:tcPr>
            <w:tcW w:w="13601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муниципальной программы Верхнехавского муниципального района Воронежской области "Содействие занятости населения"</w:t>
            </w:r>
          </w:p>
        </w:tc>
      </w:tr>
      <w:tr>
        <w:trPr>
          <w:trHeight w:val="1125" w:hRule="atLeast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352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>
        <w:trPr>
          <w:trHeight w:val="315" w:hRule="atLeast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515" w:hRule="atLeast"/>
        </w:trPr>
        <w:tc>
          <w:tcPr>
            <w:tcW w:w="12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Муниципальная программа Верхнехавского муниципального района Воронежской области " Содействие занятости населения"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12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Основное мероприятие 1.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945" w:hRule="atLeast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12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6005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0"/>
        <w:gridCol w:w="2434"/>
        <w:gridCol w:w="1790"/>
        <w:gridCol w:w="1022"/>
        <w:gridCol w:w="1026"/>
        <w:gridCol w:w="1151"/>
        <w:gridCol w:w="1152"/>
        <w:gridCol w:w="1026"/>
        <w:gridCol w:w="1260"/>
        <w:gridCol w:w="1080"/>
        <w:gridCol w:w="1252"/>
      </w:tblGrid>
      <w:tr>
        <w:trPr>
          <w:trHeight w:val="405" w:hRule="atLeast"/>
        </w:trPr>
        <w:tc>
          <w:tcPr>
            <w:tcW w:w="281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9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5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5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28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  <w:lang w:eastAsia="ru-RU"/>
              </w:rPr>
              <w:t>Приложение 3</w:t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  <w:lang w:eastAsia="ru-RU"/>
              </w:rPr>
            </w:r>
          </w:p>
        </w:tc>
        <w:tc>
          <w:tcPr>
            <w:tcW w:w="12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  <w:lang w:eastAsia="ru-RU"/>
              </w:rPr>
            </w:r>
          </w:p>
        </w:tc>
      </w:tr>
      <w:tr>
        <w:trPr>
          <w:trHeight w:val="375" w:hRule="exact"/>
        </w:trPr>
        <w:tc>
          <w:tcPr>
            <w:tcW w:w="281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2"/>
                <w:szCs w:val="32"/>
                <w:lang w:eastAsia="ru-RU"/>
              </w:rPr>
            </w:r>
          </w:p>
        </w:tc>
        <w:tc>
          <w:tcPr>
            <w:tcW w:w="24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9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5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5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6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437" w:hRule="atLeast"/>
        </w:trPr>
        <w:tc>
          <w:tcPr>
            <w:tcW w:w="16003" w:type="dxa"/>
            <w:gridSpan w:val="11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Расходы местного бюджета на реализацию муниципальной программы Верхнехавского муниципального района Воронежской области Муниципальная программа Верхнехавского муниципального района Воронежской области "Содействие занятости населения"                               </w:t>
            </w:r>
          </w:p>
        </w:tc>
      </w:tr>
      <w:tr>
        <w:trPr>
          <w:trHeight w:val="465" w:hRule="atLeast"/>
        </w:trPr>
        <w:tc>
          <w:tcPr>
            <w:tcW w:w="28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28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4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96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>
        <w:trPr>
          <w:trHeight w:val="1365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2" w:type="dxa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26" w:type="dxa"/>
            <w:tcBorders/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51" w:type="dxa"/>
            <w:tcBorders>
              <w:lef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60" w:type="dxa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80" w:type="dxa"/>
            <w:tcBorders/>
            <w:shd w:color="FFFFCC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>
        <w:trPr>
          <w:trHeight w:val="375" w:hRule="atLeast"/>
        </w:trPr>
        <w:tc>
          <w:tcPr>
            <w:tcW w:w="2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val="315" w:hRule="atLeast"/>
        </w:trPr>
        <w:tc>
          <w:tcPr>
            <w:tcW w:w="28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"Содействие занятости населения"</w:t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2625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65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…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40" w:hRule="atLeast"/>
        </w:trPr>
        <w:tc>
          <w:tcPr>
            <w:tcW w:w="28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Основное мероприятие 1.</w:t>
            </w:r>
          </w:p>
        </w:tc>
        <w:tc>
          <w:tcPr>
            <w:tcW w:w="243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2820" w:hRule="atLeast"/>
        </w:trPr>
        <w:tc>
          <w:tcPr>
            <w:tcW w:w="28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3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0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62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8"/>
        <w:gridCol w:w="1052"/>
        <w:gridCol w:w="36"/>
        <w:gridCol w:w="958"/>
        <w:gridCol w:w="1146"/>
        <w:gridCol w:w="655"/>
        <w:gridCol w:w="638"/>
        <w:gridCol w:w="1056"/>
        <w:gridCol w:w="466"/>
        <w:gridCol w:w="1124"/>
        <w:gridCol w:w="180"/>
        <w:gridCol w:w="1231"/>
        <w:gridCol w:w="75"/>
        <w:gridCol w:w="1065"/>
        <w:gridCol w:w="344"/>
        <w:gridCol w:w="1366"/>
        <w:gridCol w:w="1349"/>
        <w:gridCol w:w="520"/>
        <w:gridCol w:w="1010"/>
        <w:gridCol w:w="1311"/>
        <w:gridCol w:w="115"/>
        <w:gridCol w:w="5"/>
        <w:gridCol w:w="19"/>
      </w:tblGrid>
      <w:tr>
        <w:trPr>
          <w:trHeight w:val="315" w:hRule="atLeast"/>
        </w:trPr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  <w:bookmarkStart w:id="2" w:name="RANGE!A1%25252525252525253AJ22"/>
            <w:bookmarkStart w:id="3" w:name="RANGE!A1%25252525252525253AJ22"/>
            <w:bookmarkEnd w:id="3"/>
          </w:p>
        </w:tc>
        <w:tc>
          <w:tcPr>
            <w:tcW w:w="108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8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190" w:type="dxa"/>
            <w:gridSpan w:val="4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Приложение 4</w:t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5" w:hRule="atLeast"/>
        </w:trPr>
        <w:tc>
          <w:tcPr>
            <w:tcW w:w="51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08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8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190" w:type="dxa"/>
            <w:gridSpan w:val="4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45" w:hRule="atLeast"/>
        </w:trPr>
        <w:tc>
          <w:tcPr>
            <w:tcW w:w="16100" w:type="dxa"/>
            <w:gridSpan w:val="20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Оценка применения мер муниципального регулирования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  <w:br/>
              <w:t>в сфере реализации муниципальной программы</w:t>
              <w:br/>
              <w:t>Муниципальная программа Верхнехавского муниципального района Воронежской области  "Содействие занятости населения"</w:t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0" w:hRule="exact"/>
        </w:trPr>
        <w:tc>
          <w:tcPr>
            <w:tcW w:w="518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56" w:hRule="atLeast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Наименование меры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Показатель применения меры,</w:t>
              <w:br/>
              <w:t xml:space="preserve">тыс. рублей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346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Финансовая оценка результата</w:t>
              <w:br/>
              <w:t>(тыс. руб.), годы</w:t>
            </w:r>
          </w:p>
        </w:tc>
        <w:tc>
          <w:tcPr>
            <w:tcW w:w="1349" w:type="dxa"/>
            <w:tcBorders>
              <w:top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51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gridSpan w:val="2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2016</w:t>
              <w:br/>
              <w:t>(первый год реализации)</w:t>
            </w:r>
          </w:p>
        </w:tc>
        <w:tc>
          <w:tcPr>
            <w:tcW w:w="1694" w:type="dxa"/>
            <w:gridSpan w:val="2"/>
            <w:tcBorders/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2017</w:t>
              <w:br/>
              <w:t>(второй год реализации)</w:t>
            </w:r>
          </w:p>
        </w:tc>
        <w:tc>
          <w:tcPr>
            <w:tcW w:w="1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2018</w:t>
              <w:br/>
              <w:t xml:space="preserve">(третий год реализации) </w:t>
            </w:r>
          </w:p>
        </w:tc>
        <w:tc>
          <w:tcPr>
            <w:tcW w:w="1486" w:type="dxa"/>
            <w:gridSpan w:val="3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</w:t>
              <w:br/>
              <w:t xml:space="preserve">(четвертый  год реализации) </w:t>
            </w:r>
          </w:p>
        </w:tc>
        <w:tc>
          <w:tcPr>
            <w:tcW w:w="1409" w:type="dxa"/>
            <w:gridSpan w:val="2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                       (пятый год реализации)</w:t>
            </w:r>
          </w:p>
        </w:tc>
        <w:tc>
          <w:tcPr>
            <w:tcW w:w="1366" w:type="dxa"/>
            <w:tcBorders/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                       ( шестой год реализации)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2022                        (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седьмой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год реализации)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2023                        (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восьмой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год реализации)</w:t>
            </w:r>
          </w:p>
        </w:tc>
        <w:tc>
          <w:tcPr>
            <w:tcW w:w="131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2" w:type="dxa"/>
            <w:gridSpan w:val="1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2" w:type="dxa"/>
            <w:gridSpan w:val="1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5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0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8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6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4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1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1910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86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3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1910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86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3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1910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86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3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9" w:type="dxa"/>
            <w:gridSpan w:val="3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57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9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179" w:type="dxa"/>
            <w:gridSpan w:val="11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>
        <w:trPr>
          <w:trHeight w:val="315" w:hRule="exact"/>
        </w:trPr>
        <w:tc>
          <w:tcPr>
            <w:tcW w:w="157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9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4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2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945" w:hRule="atLeast"/>
        </w:trPr>
        <w:tc>
          <w:tcPr>
            <w:tcW w:w="16239" w:type="dxa"/>
            <w:gridSpan w:val="2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</w:t>
            </w:r>
            <w:bookmarkStart w:id="4" w:name="_GoBack"/>
            <w:bookmarkEnd w:id="4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ального района  Воронежской области  "Содействие занятости населения"</w:t>
            </w:r>
          </w:p>
        </w:tc>
      </w:tr>
      <w:tr>
        <w:trPr>
          <w:trHeight w:val="255" w:hRule="exact"/>
        </w:trPr>
        <w:tc>
          <w:tcPr>
            <w:tcW w:w="157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14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9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4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2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1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121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57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04" w:type="dxa"/>
            <w:gridSpan w:val="2"/>
            <w:tcBorders/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1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47" w:hRule="atLeast"/>
        </w:trPr>
        <w:tc>
          <w:tcPr>
            <w:tcW w:w="15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4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"Содействие занятости населения"</w:t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9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5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64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юридические лица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4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15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214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90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74,7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85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25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27" w:hRule="atLeast"/>
        </w:trPr>
        <w:tc>
          <w:tcPr>
            <w:tcW w:w="15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40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522" w:type="dxa"/>
            <w:gridSpan w:val="2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425" w:right="1134" w:header="0" w:top="851" w:footer="0" w:bottom="170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69044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Normal"/>
    <w:link w:val="30"/>
    <w:uiPriority w:val="9"/>
    <w:qFormat/>
    <w:rsid w:val="006904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0"/>
    <w:qFormat/>
    <w:rsid w:val="00690443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690443"/>
    <w:rPr/>
  </w:style>
  <w:style w:type="character" w:styleId="Style11">
    <w:name w:val="Выделение"/>
    <w:basedOn w:val="DefaultParagraphFont"/>
    <w:uiPriority w:val="20"/>
    <w:qFormat/>
    <w:rsid w:val="00690443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9044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6904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2" w:customStyle="1">
    <w:name w:val="Интернет-ссылка"/>
    <w:basedOn w:val="DefaultParagraphFont"/>
    <w:uiPriority w:val="99"/>
    <w:semiHidden/>
    <w:unhideWhenUsed/>
    <w:rsid w:val="00690443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69044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690443"/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Style13" w:customStyle="1">
    <w:name w:val="Текст Знак"/>
    <w:basedOn w:val="DefaultParagraphFont"/>
    <w:qFormat/>
    <w:rsid w:val="0069044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15" w:customStyle="1">
    <w:name w:val="Название Знак"/>
    <w:basedOn w:val="DefaultParagraphFont"/>
    <w:qFormat/>
    <w:rsid w:val="00690443"/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character" w:styleId="FontStyle11" w:customStyle="1">
    <w:name w:val="Font Style11"/>
    <w:basedOn w:val="DefaultParagraphFont"/>
    <w:qFormat/>
    <w:rsid w:val="00690443"/>
    <w:rPr>
      <w:rFonts w:ascii="Times New Roman" w:hAnsi="Times New Roman" w:cs="Times New Roman"/>
      <w:sz w:val="26"/>
      <w:szCs w:val="26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b86f32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690443"/>
    <w:pPr>
      <w:spacing w:lineRule="auto" w:line="240" w:before="0" w:after="12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6904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uiPriority w:val="99"/>
    <w:semiHidden/>
    <w:unhideWhenUsed/>
    <w:qFormat/>
    <w:rsid w:val="0069044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PlainText">
    <w:name w:val="Plain Text"/>
    <w:basedOn w:val="Normal"/>
    <w:qFormat/>
    <w:rsid w:val="0069044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qFormat/>
    <w:rsid w:val="0069044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ConsPlusNormal" w:customStyle="1">
    <w:name w:val="ConsPlusNormal"/>
    <w:qFormat/>
    <w:rsid w:val="0069044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2"/>
      <w:szCs w:val="20"/>
      <w:lang w:val="ru-RU" w:eastAsia="ru-RU" w:bidi="ar-SA"/>
    </w:rPr>
  </w:style>
  <w:style w:type="paragraph" w:styleId="Style22">
    <w:name w:val="Title"/>
    <w:basedOn w:val="Normal"/>
    <w:qFormat/>
    <w:rsid w:val="00690443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paragraph" w:styleId="ConsPlusTitle" w:customStyle="1">
    <w:name w:val="ConsPlusTitle"/>
    <w:qFormat/>
    <w:rsid w:val="0069044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Normal" w:customStyle="1">
    <w:name w:val="ConsNormal"/>
    <w:qFormat/>
    <w:rsid w:val="00690443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3" w:customStyle="1">
    <w:name w:val="Style2"/>
    <w:basedOn w:val="Normal"/>
    <w:qFormat/>
    <w:rsid w:val="00690443"/>
    <w:pPr>
      <w:widowControl w:val="false"/>
      <w:spacing w:lineRule="exact" w:line="319" w:before="0" w:after="0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86f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7AEF-D0F1-4884-BF20-8B967500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Application>LibreOffice/6.4.4.2$Windows_X86_64 LibreOffice_project/3d775be2011f3886db32dfd395a6a6d1ca2630ff</Application>
  <Pages>15</Pages>
  <Words>2382</Words>
  <Characters>16244</Characters>
  <CharactersWithSpaces>18856</CharactersWithSpaces>
  <Paragraphs>529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2016-09-26T05:21:00Z</dcterms:created>
  <dc:creator>Соколова Елена Ивановна</dc:creator>
  <dc:description/>
  <dc:language>ru-RU</dc:language>
  <cp:lastModifiedBy/>
  <cp:lastPrinted>2021-02-15T09:41:33Z</cp:lastPrinted>
  <dcterms:modified xsi:type="dcterms:W3CDTF">2021-02-15T09:43:01Z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