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4D4E4C"/>
          <w:sz w:val="24"/>
          <w:szCs w:val="24"/>
          <w:lang w:eastAsia="ru-RU"/>
        </w:rPr>
        <w:t>Приложение №1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Georgia" w:hAnsi="Georgia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Georgia" w:hAnsi="Georgia"/>
          <w:color w:val="000000"/>
          <w:sz w:val="20"/>
          <w:szCs w:val="20"/>
          <w:lang w:eastAsia="ru-RU"/>
        </w:rPr>
      </w:r>
    </w:p>
    <w:p>
      <w:pPr>
        <w:pStyle w:val="ConsPlusNormal"/>
        <w:widowControl/>
        <w:ind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Муниципальная программа Верхнехавского муниципального района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Воронежской области  "Содействие занятости населения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"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П А С П О Р Т</w:t>
      </w:r>
    </w:p>
    <w:tbl>
      <w:tblPr>
        <w:tblW w:w="904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50"/>
        <w:gridCol w:w="5789"/>
      </w:tblGrid>
      <w:tr>
        <w:trPr>
          <w:trHeight w:val="898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>
        <w:trPr>
          <w:trHeight w:val="882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>
        <w:trPr>
          <w:trHeight w:val="1417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Отдел по экономике и управлению муниципальным имуществом Верхнехавского муниципального района Воронежской области, центр занятости населения Верхнехавского района, финансовый отдел администрации</w:t>
            </w:r>
          </w:p>
        </w:tc>
      </w:tr>
      <w:tr>
        <w:trPr>
          <w:trHeight w:val="743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>
          <w:trHeight w:val="897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содействие временной занятости подростков и молодежи   в каникулярные периоды и в свободное от учебы  время.</w:t>
            </w:r>
          </w:p>
        </w:tc>
      </w:tr>
      <w:tr>
        <w:trPr>
          <w:trHeight w:val="2901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оказание   материальной и социальной  поддержки подросткам и молодежи, находящимся в сложной жизненной ситуации;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  вовлечение подростков  и молодежи в социально значимую и полезную  трудовую деятельность;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-содействие в профессиональном  самоопределении подросткам и молодежи  в возрасте  от 14 до 18 лет;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-профилактика подростковой  безнадзорности и предупреждение  правонарушений среди несовершеннолетних  граждан.</w:t>
            </w:r>
          </w:p>
        </w:tc>
      </w:tr>
      <w:tr>
        <w:trPr>
          <w:trHeight w:val="602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молодежи, чел.</w:t>
            </w:r>
          </w:p>
        </w:tc>
      </w:tr>
      <w:tr>
        <w:trPr>
          <w:trHeight w:val="744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Программа реализуется в один этап с 2016 по 2024 годы</w:t>
            </w:r>
          </w:p>
        </w:tc>
      </w:tr>
      <w:tr>
        <w:trPr>
          <w:trHeight w:val="169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Объемы и источники  финансирования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Объем финансирования муниципальной программы за счет средств областного бюджета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332,5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тыс.руб., в том числе по годам реализации: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2016 год- 55,8 тыс. руб. 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2017 год- 67,5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2018 год- 78,8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2019 год- 78,8 тыс.руб.   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2020 год- 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2021 год- 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51,6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тыс.руб.</w:t>
            </w:r>
          </w:p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2022 год-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тыс.руб.</w:t>
            </w:r>
          </w:p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2023 год-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тыс.руб</w:t>
            </w:r>
          </w:p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2024 год- 0 тыс.руб.</w:t>
            </w:r>
          </w:p>
        </w:tc>
      </w:tr>
      <w:tr>
        <w:trPr>
          <w:trHeight w:val="1064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  к 2024 году составит до 284 человека, в том числе из семей социального риска не менее  50 человек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1.Общая характеристика сферы реализации муниципальной программы</w:t>
      </w:r>
    </w:p>
    <w:p>
      <w:pPr>
        <w:pStyle w:val="Normal"/>
        <w:shd w:val="clear" w:color="auto" w:fill="FFFFFF"/>
        <w:spacing w:lineRule="atLeast" w:line="273" w:before="0" w:after="0"/>
        <w:ind w:firstLine="708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Верхнехавском муниципальном районе сложилась определенная система работы    по организации временного трудоустройства подростков и молодежи. Этому предшествовала плодотворная работа отдела образования, физической культуры и спорта администрации Верхнехавского муниципального района и ГКУ ВО ЦЗН Верхнехавского муниципального района.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Недостаточный материальный уровень доходов большей части населения изменил жизненную позицию   подростков и молодежи. Многие из них стремятся заработать деньги, помочь своей семье.  Особенно уязвима та категория молодых людей, которые    воспитываются в малообеспеченных семьях и семьях социального риска.   Предусматриваемые   денежные средства в рамках реализации мероприятий по временному трудоустройству были направлены на выплату заработной платы    подросткам и молодежи за фактически отработанное время.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целях профилактики безнадзорности и правонарушений   в молодежной среде, повышения  у подрастающего поколения  мотивации  к труду, создания   условий  для формирования активной жизненной позиции молодежи, а также снижения  уровня   социальной напряженности   среди  молодежи,  администрация   Верхнехавского муниципального района совместно с ГКУ ВО Центр занятости населения Верхнехавского района ежегодно   обеспечивают  предоставление гарантий занятости, в том числе несовершеннолетним  гражданам.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Необходимость использования комплексного подхода к решению    задач в сфере организации временного трудоустройства подростков и молодежи обуславливает решение   проблемы программно-целевым методом.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Принятие муниципальной программы «Содействие занятости населения в Верхнехавском муниципальном районе (далее-Программа) позволит, прежде всего: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-обеспечить временную внеурочную занятость подростков и молодежи;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-привлечь   к трудовой деятельности подростков, состоящих на учете в комиссии по делам несовершеннолетних и защите их прав;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-оказать материальную поддержку    подросткам и молодежи, из семей социального риска.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Трудоустройство молодежи - важнейшая социальная задача. Первый опыт работы помогает молодому человеку осознать себя нужным и полезным членом общества, подготовиться к самостоятельной жизни.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призвана стимулировать инициативность подростков, стремление попробовать свои силы в различных видах деятельности.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Трудоустройство несовершеннолетних граждан - одно из приоритетных направлений реализации молодежной политики в Верхнехавском муниципальном районе в рамках содействия занятости и организации мероприятий по профилактике правонарушений.                                  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Деятельность по организации трудоустройства данной категории граждан осуществляется совместно с ГКУ ВО Центр занятости населения Верхнехавского района, отделом образования, физической культуры и спорта администрации Верхнехавского муниципального района, образовательными учреждениями Верхнехавского муниципального района.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Согласно программным мероприятиям, с 2016 года по 2024 год на организацию мероприятий   в рамках временного трудоустройства подростков и молодежи из областного бюджета будут выделены денежные средства   в сумме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 xml:space="preserve">332,5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тыс. рублей, в том числе по годам: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2016 год- 55,8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2017 год- 67,5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2018 год- 78,8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2019 год- 78,8 тыс. 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2020 год-  0 тыс. 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2021 год —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51,6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2022 год-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2023 год-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4D4E4C"/>
          <w:sz w:val="28"/>
          <w:szCs w:val="28"/>
          <w:lang w:eastAsia="ru-RU"/>
        </w:rPr>
        <w:t>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024 год-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Некоторые итоги трудоустройства несовершеннолетних граждан в каникулярные за 2013 -2015 годы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Отдел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в течение 2013-2015 годов осуществлял работу по организации временных рабочих мест несовершеннолетних граждан, не только в каникулярное, но и в свободное от учебы время, что способствовало обеспечению временной занятости подростков и молодежи, прежде всего, из семей социального риска.  Работы, организуемые для несовершеннолетних граждан, имели социально-полезную направленность, а именно: благоустройство территории школ, пришкольных территорий, парков, скверов.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 каждым годом отмечается рост активности подростков, желающих принимать   участие во временных работах    в каникулярные периоды и в свободное от учебы время. Групповые формы организации трудовой деятельности позволили    охватить   максимальное количество подростков, в том числе   находящихся в сложной жизненной ситуации.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       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Информация   о привлечении дополнительных средств из областного бюджета на организацию временной трудовой занятости подростков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8913" w:type="dxa"/>
        <w:jc w:val="left"/>
        <w:tblInd w:w="9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13"/>
        <w:gridCol w:w="1620"/>
        <w:gridCol w:w="2307"/>
        <w:gridCol w:w="1566"/>
        <w:gridCol w:w="2207"/>
      </w:tblGrid>
      <w:tr>
        <w:trPr/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трудоуст-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роенных подростков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3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занятости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несовершен-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1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Общее количество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денежных средств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Статьи расходов</w:t>
            </w:r>
          </w:p>
        </w:tc>
      </w:tr>
      <w:tr>
        <w:trPr/>
        <w:tc>
          <w:tcPr>
            <w:tcW w:w="1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 2014 г.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Трудовые бригады</w:t>
            </w:r>
          </w:p>
        </w:tc>
        <w:tc>
          <w:tcPr>
            <w:tcW w:w="156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14522</w:t>
            </w:r>
          </w:p>
        </w:tc>
        <w:tc>
          <w:tcPr>
            <w:tcW w:w="22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  <w:tr>
        <w:trPr/>
        <w:tc>
          <w:tcPr>
            <w:tcW w:w="1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Лагеря труда и отдыха, дневного пребывания</w:t>
            </w:r>
          </w:p>
        </w:tc>
        <w:tc>
          <w:tcPr>
            <w:tcW w:w="156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26991</w:t>
            </w:r>
          </w:p>
        </w:tc>
        <w:tc>
          <w:tcPr>
            <w:tcW w:w="22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  <w:tr>
        <w:trPr>
          <w:trHeight w:val="2790" w:hRule="atLeast"/>
        </w:trPr>
        <w:tc>
          <w:tcPr>
            <w:tcW w:w="1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Июнь-август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2015 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Лагеря труда и отдыха, дневного пребывания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12412</w:t>
            </w:r>
          </w:p>
        </w:tc>
        <w:tc>
          <w:tcPr>
            <w:tcW w:w="22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Также большое значение имеет   данная Программа по предоставлению   возможности для подростков и молодежи трудоустроиться индивидуально.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Ежегодно в целях   профилактики   безнадзорности и правонарушений активная социальная работа проводится отделом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с детьми и подростками на площадках по месту жительства, в лагерях дневного пребывания.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Анализ реализации мероприятий по трудоустройству подростков и молодежи за предыдущие периоды показывает, что   с каждым годом растет количество подростков, желающих   работать в каникулярное и свободное от учебы время.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center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3. Приоритеты муниципальной политики в сфере реализации муниципальной программы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tLeast" w:line="273" w:before="0" w:after="0"/>
        <w:ind w:firstLine="708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jc w:val="left"/>
        <w:tblInd w:w="-74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07"/>
        <w:gridCol w:w="1501"/>
        <w:gridCol w:w="2120"/>
        <w:gridCol w:w="1522"/>
        <w:gridCol w:w="1705"/>
      </w:tblGrid>
      <w:tr>
        <w:trPr/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Обоснование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финанси-рования</w:t>
            </w:r>
          </w:p>
        </w:tc>
      </w:tr>
      <w:tr>
        <w:trPr/>
        <w:tc>
          <w:tcPr>
            <w:tcW w:w="9355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               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1.Организационная работа по трудоустройству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 Организационная работа   с образова-тельными учреждениями района по выявлению   желающих   трудоустроится в каникулярный период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Подготовка  заявок, составление  списков, определение  объемов труда с учетом согласования с работодателями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ЦЗН, образова-тельные учреждения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Март-май  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1.2.Проведение мероприятий  профориентационной направленности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Создание банка данных рабочих мест   для  учащейся молодежи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ЦЗН, образова-тельные учреждения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>
        <w:trPr/>
        <w:tc>
          <w:tcPr>
            <w:tcW w:w="9355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                   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2.Организация и проведение временного трудоустройства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2.1.Заключение договоров с работодателями. 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Привлечение  работодателей   к временному трудоустройству молодежи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 01 июня  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2.2. В соответствии с заявками, направление   учащихся и студентов  в  учреждения  и  предприятия  работодателей 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Организация  трудовой деятельности  в соответствии с объемами  и видами работ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,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работодатели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Июнь-август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2.3.Подготовка  пакета документов для оплаты  труда подросткам и молодежи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Оплата  труда    подросткам и молодежи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учреждения,       ГКУ ВО ЦЗН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Подготовка  пакета документов для оплаты  труда подросткам и молодежи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2.4. Организация контроля  по проведению   занятости несовершеннолетних   в каникулярные периоды и в свободное от учебы время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Контроль за   количеством   трудоустроенных    молодых граждан в     каникулярные периоды и в свободное от учебы время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Июнь-ноябрь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2.6. Подведение итогов  по организации   трудовой занятости подростков  и молодежи в каникулярные периоды и в сводное от учебы  время.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Составление аналитической информации- отчета о реализации мероприятий.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b/>
          <w:b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4. Обоснование выделения подпрограмм и обобщенная характеристика основных мероприятий.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связи с тем, что предусмотренные программой мероприятия имеют одну цель- вовлечение подростков и молодежи в трудовую деятельность-, выделение подпрограмм не предусмотрено.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5. Ресурсное обеспечение Программы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Особенности трудоустройства лиц    в возрасте до 18 лет регулируются    главой 42 Трудового кодекса Российской Федерации (далее- ТК РФ).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Выполнение подростками работ, которые не влияют на их здоровье и развитие, а также не препятствуют получению образования, помогает   подросткам    получить навыки и опыт.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Согласно ст.63 ТК РФ «Возраст, с которого допускается    заключение трудового договора» заключение трудового договора возможно с лицами, достигшими возраста 16 лет. С согласия одного из родителей (попечителя) и органа опеки и попечительства трудовой договор может быть заключен с учащимися, достигшими   возраста    14 лет, для выполнения в свободное от учебы время легкого труда, не причиняющего вреда их здоровью и не нарушающего процесса обучения.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соответствии со ст. 271 «Оплата труда работников в возрасте до 18 лет при сокращенной продолжительности ежедневной работы» ТК РФ при повременной оплате труда заработная плата работникам в возрасте до 18 лет выплачивается с учетом сокращенной продолжительности работы.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Оплата труда работников   в возрасте до 18 лет, обучающихся в общеобразовательных учреждениях, образовательных учреждениях начального, среднего и высшего профессионального образования и работающих в свободное от учебы время, производится пропорционально отработанному времени или в зависимости от выработки.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 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Планируемая общая сумма денежных средств из областного бюджета, в рамках реализации Программы на 2016-2024 годы, составит: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>332,5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 тысяч рублей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6.Оценка эффективности реализации муниципальной Программы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 результате реализации Программы будут достигнуты следующие результаты: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-увеличение доли молодых людей, участвующих в мероприятиях, в рамках организации временного трудоустройства в каникулярные периоды и в свободное от учебы время    в общем количестве учащейся молодежи в возрасте до 20 лет – до 8 %;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-увеличение доли молодых людей, находящихся в сложной жизненной ситуации, в том числе из семей социального риска, вовлеченных в программные мероприятия в целях профилактики  асоциального  поведения, правонарушений и безнадзорности  в молодежной среде - до  70%;</w:t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tbl>
      <w:tblPr>
        <w:tblW w:w="935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4677"/>
        <w:gridCol w:w="4677"/>
      </w:tblGrid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Приложение 1 </w:t>
            </w:r>
          </w:p>
        </w:tc>
      </w:tr>
      <w:tr>
        <w:trPr/>
        <w:tc>
          <w:tcPr>
            <w:tcW w:w="9354" w:type="dxa"/>
            <w:gridSpan w:val="2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ПАСПОРТ муниципальной программы  Верхнехавского муниципального района  Муниципальная программа Верхнехавского муниципального района Воронежской области  "Содействие занятости населения" 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 Верхнехавского муниципального района Воронежской области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содействие временной занятости подростков и молодежи   в каникулярные периоды и в свободное от учебы  время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оказание   материальной и социальной  поддержки подросткам и молодежи, находящимся в сложной жизненной ситуации; -  вовлечение подростков  и молодежи в социально значимую и полезную  трудовую деятельность; -содействие в профессиональном  самоопределении подросткам и молодежи  в возрасте  от 14 до 18 лет; -профилактика подростковой  безнадзорности и предупреждение  правонарушений среди несовершеннолетних  граждан. 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Целевые индикаторы и показатели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вовлеченных во временную трудовую деятельность подростков и молодежи, чел.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Программа реализуется в один этап с 2016 по 2024 годы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финансирования  муниципальной программы за счет средств областного бюджета 332,5,0 тыс.руб., в том числе по годам реализации:: 2016 год- 55,8 тыс. руб.  2017 год- 67,5 тыс.руб. 2018 год- 78,8 тыс.руб. 2019 год- 78,8 тыс.руб.    2020 год- 0 тыс.руб. 2021 год- 51,6 тыс.руб. 2022 год- 0 тыс.руб.                                                                   2023 год- 0 тыс.руб                                                             2024 год- 0 тыс.руб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вовлеченных во временную трудовую деятельность подростков и молодежи  к 2023 году составит до 284 человек, в том числе из семей социального риска не менее  50 человек</w:t>
            </w:r>
          </w:p>
        </w:tc>
      </w:tr>
      <w:tr>
        <w:trPr/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354" w:type="dxa"/>
            <w:gridSpan w:val="2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В разрезе подпрограмм муниципальной программы. Объем финансирования указывается в</w:t>
            </w:r>
          </w:p>
        </w:tc>
      </w:tr>
      <w:tr>
        <w:trPr/>
        <w:tc>
          <w:tcPr>
            <w:tcW w:w="9354" w:type="dxa"/>
            <w:gridSpan w:val="2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тысячах рублей с точностью до второго знака после запятой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426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</w:r>
    </w:p>
    <w:tbl>
      <w:tblPr>
        <w:tblW w:w="15279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273"/>
        <w:gridCol w:w="1273"/>
        <w:gridCol w:w="1273"/>
        <w:gridCol w:w="1273"/>
        <w:gridCol w:w="1273"/>
        <w:gridCol w:w="1274"/>
        <w:gridCol w:w="1273"/>
        <w:gridCol w:w="1273"/>
        <w:gridCol w:w="1273"/>
        <w:gridCol w:w="1273"/>
        <w:gridCol w:w="1274"/>
        <w:gridCol w:w="1273"/>
      </w:tblGrid>
      <w:tr>
        <w:trPr/>
        <w:tc>
          <w:tcPr>
            <w:tcW w:w="15278" w:type="dxa"/>
            <w:gridSpan w:val="12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Приложение 2 </w:t>
            </w:r>
          </w:p>
        </w:tc>
      </w:tr>
      <w:tr>
        <w:trPr/>
        <w:tc>
          <w:tcPr>
            <w:tcW w:w="15278" w:type="dxa"/>
            <w:gridSpan w:val="12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Сведения о показателях (индикаторах) муниципальной программы  Верхнехавского муниципального района Воронежской области  "Содействие занятости населения"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Ед. измерения</w:t>
            </w:r>
          </w:p>
        </w:tc>
        <w:tc>
          <w:tcPr>
            <w:tcW w:w="11459" w:type="dxa"/>
            <w:gridSpan w:val="9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Значения показателя (индикатора) по годам реализации муниципальной программы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</w:t>
            </w:r>
          </w:p>
        </w:tc>
      </w:tr>
      <w:tr>
        <w:trPr/>
        <w:tc>
          <w:tcPr>
            <w:tcW w:w="15278" w:type="dxa"/>
            <w:gridSpan w:val="12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Муниципальная программа Верхнехавского муниципального района Воронежской области                " Содействие занятости населения "</w:t>
            </w:r>
          </w:p>
        </w:tc>
      </w:tr>
      <w:tr>
        <w:trPr/>
        <w:tc>
          <w:tcPr>
            <w:tcW w:w="15278" w:type="dxa"/>
            <w:gridSpan w:val="12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вовлеченных во временную трудовую деятельность подростков и молодежи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tbl>
      <w:tblPr>
        <w:tblW w:w="1528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2955"/>
        <w:gridCol w:w="2715"/>
        <w:gridCol w:w="855"/>
        <w:gridCol w:w="855"/>
        <w:gridCol w:w="795"/>
        <w:gridCol w:w="1065"/>
        <w:gridCol w:w="795"/>
        <w:gridCol w:w="855"/>
        <w:gridCol w:w="60"/>
        <w:gridCol w:w="60"/>
        <w:gridCol w:w="45"/>
        <w:gridCol w:w="60"/>
        <w:gridCol w:w="855"/>
        <w:gridCol w:w="855"/>
        <w:gridCol w:w="765"/>
      </w:tblGrid>
      <w:tr>
        <w:trPr/>
        <w:tc>
          <w:tcPr>
            <w:tcW w:w="15285" w:type="dxa"/>
            <w:gridSpan w:val="16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3</w:t>
            </w:r>
          </w:p>
        </w:tc>
      </w:tr>
      <w:tr>
        <w:trPr/>
        <w:tc>
          <w:tcPr>
            <w:tcW w:w="15285" w:type="dxa"/>
            <w:gridSpan w:val="16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Расходы местного бюджета на реализацию муниципальной программы Верхнехавского муниципального района  Воронежской области Муниципальная программа Верхнехавского муниципального района Воронежской области  "Содействие занятости населения"                               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920" w:type="dxa"/>
            <w:gridSpan w:val="13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Расходы местного бюджета по годам реализации муниципальной программы, тыс. руб.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"Содействие занятости населения"</w:t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том числе по ГРБС: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исполнитель 1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Основное мероприятие 1.</w:t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Реализация мероприятий активной политики занятости населения</w:t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том числе по ГРБС: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71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  <w:tab/>
        <w:tab/>
        <w:tab/>
        <w:tab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  <w:tab/>
        <w:tab/>
        <w:tab/>
        <w:tab/>
        <w:tab/>
        <w:tab/>
      </w:r>
    </w:p>
    <w:tbl>
      <w:tblPr>
        <w:tblW w:w="15279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1175"/>
        <w:gridCol w:w="1175"/>
        <w:gridCol w:w="1176"/>
        <w:gridCol w:w="1175"/>
        <w:gridCol w:w="1175"/>
        <w:gridCol w:w="1175"/>
        <w:gridCol w:w="1176"/>
        <w:gridCol w:w="1175"/>
        <w:gridCol w:w="1175"/>
        <w:gridCol w:w="1175"/>
        <w:gridCol w:w="1176"/>
        <w:gridCol w:w="1175"/>
      </w:tblGrid>
      <w:tr>
        <w:trPr/>
        <w:tc>
          <w:tcPr>
            <w:tcW w:w="15278" w:type="dxa"/>
            <w:gridSpan w:val="13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Приложение 4</w:t>
            </w:r>
          </w:p>
        </w:tc>
      </w:tr>
      <w:tr>
        <w:trPr/>
        <w:tc>
          <w:tcPr>
            <w:tcW w:w="15278" w:type="dxa"/>
            <w:gridSpan w:val="13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Оценка применения мер муниципального регулирования 1  в сфере реализации муниципальной программы Муниципальная программа Верхнехавского муниципального района Воронежской области  "Содействие занятости населения"</w:t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Наименование меры 2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Показатель применения меры, тыс. рублей 3 </w:t>
            </w:r>
          </w:p>
        </w:tc>
        <w:tc>
          <w:tcPr>
            <w:tcW w:w="10578" w:type="dxa"/>
            <w:gridSpan w:val="9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Финансовая оценка результата (тыс. руб.), годы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Краткое обоснование необходимости применения меры для достижения цели муниципальной программы 4</w:t>
            </w:r>
          </w:p>
        </w:tc>
      </w:tr>
      <w:tr>
        <w:trPr>
          <w:trHeight w:val="1545" w:hRule="atLeast"/>
        </w:trPr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2016 (первый год реализации)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2017 (второй год реализации)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2018 (третий год реализации) 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2019 (четвертый  год реализации) 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2020              (пятый год реализации)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2021           ( шестой год реализации)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2022  (седьмой год реализации)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2023  (восьмой год реализации)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2024 (девятый од реализации)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3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4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6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8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9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10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11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12</w:t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3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4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6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8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9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10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75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5278" w:type="dxa"/>
            <w:gridSpan w:val="13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 Налоговые, тарифные, кредитные и иные меры муниципального регулирования.</w:t>
            </w:r>
          </w:p>
        </w:tc>
      </w:tr>
      <w:tr>
        <w:trPr/>
        <w:tc>
          <w:tcPr>
            <w:tcW w:w="15278" w:type="dxa"/>
            <w:gridSpan w:val="13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 Налоговая льгота, предоставление гарантий и т.п.</w:t>
            </w:r>
          </w:p>
        </w:tc>
      </w:tr>
      <w:tr>
        <w:trPr/>
        <w:tc>
          <w:tcPr>
            <w:tcW w:w="15278" w:type="dxa"/>
            <w:gridSpan w:val="13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3 Объем выпадающих доходов местных бюджетов (тыс. руб.).</w:t>
            </w:r>
          </w:p>
        </w:tc>
      </w:tr>
      <w:tr>
        <w:trPr/>
        <w:tc>
          <w:tcPr>
            <w:tcW w:w="15278" w:type="dxa"/>
            <w:gridSpan w:val="13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4 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  <w:tab/>
        <w:tab/>
        <w:tab/>
        <w:tab/>
        <w:tab/>
        <w:tab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tbl>
      <w:tblPr>
        <w:tblW w:w="1528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273"/>
        <w:gridCol w:w="1273"/>
        <w:gridCol w:w="1429"/>
        <w:gridCol w:w="1117"/>
        <w:gridCol w:w="1273"/>
        <w:gridCol w:w="1274"/>
        <w:gridCol w:w="1273"/>
        <w:gridCol w:w="1273"/>
        <w:gridCol w:w="1273"/>
        <w:gridCol w:w="1273"/>
        <w:gridCol w:w="1274"/>
        <w:gridCol w:w="1280"/>
      </w:tblGrid>
      <w:tr>
        <w:trPr/>
        <w:tc>
          <w:tcPr>
            <w:tcW w:w="15285" w:type="dxa"/>
            <w:gridSpan w:val="12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Приложение 5</w:t>
            </w:r>
          </w:p>
        </w:tc>
      </w:tr>
      <w:tr>
        <w:trPr/>
        <w:tc>
          <w:tcPr>
            <w:tcW w:w="15285" w:type="dxa"/>
            <w:gridSpan w:val="12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муниципального района  Воронежской области  "Содействие занятости населения"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Статус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Наименование муниципальной программы, подпрограммы</w:t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Источники ресурсного обеспечения</w:t>
            </w:r>
          </w:p>
        </w:tc>
        <w:tc>
          <w:tcPr>
            <w:tcW w:w="11310" w:type="dxa"/>
            <w:gridSpan w:val="9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Оценка расходов по годам реализации муниципальной программы, тыс. руб.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2016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2017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2018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2019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2021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2023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2024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</w:t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3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4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6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9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11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12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МУНИЦИПАЛЬНАЯ ПРОГРАММА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  </w:t>
            </w:r>
            <w:r>
              <w:rPr/>
              <w:t>"Содействие занятости населения"</w:t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всего, в том числе: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55,8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67,5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78,8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78,8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51,6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областной бюджет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55,8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67,5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78,8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78,8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51,6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местный бюджет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юридические лица 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физические лица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ОСНОВНОЕ МЕРОПРИЯТИЕ 1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Реализация мероприятий активной политики занятости населения</w:t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всего, в том числе: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55,8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67,5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78,8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78,8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51,6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областной бюджет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55,8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67,5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78,8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78,8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51,6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местный бюджет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0,0</w:t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юридические лица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2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физические лица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7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7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-</w:t>
            </w:r>
          </w:p>
        </w:tc>
        <w:tc>
          <w:tcPr>
            <w:tcW w:w="128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  <w:tab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  <w:tab/>
        <w:tab/>
        <w:tab/>
        <w:tab/>
        <w:tab/>
        <w:tab/>
      </w:r>
    </w:p>
    <w:tbl>
      <w:tblPr>
        <w:tblW w:w="15279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909"/>
        <w:gridCol w:w="1910"/>
        <w:gridCol w:w="1910"/>
        <w:gridCol w:w="1909"/>
        <w:gridCol w:w="1910"/>
        <w:gridCol w:w="1910"/>
        <w:gridCol w:w="1909"/>
        <w:gridCol w:w="1910"/>
      </w:tblGrid>
      <w:tr>
        <w:trPr/>
        <w:tc>
          <w:tcPr>
            <w:tcW w:w="15277" w:type="dxa"/>
            <w:gridSpan w:val="8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Приложение 6</w:t>
            </w:r>
          </w:p>
        </w:tc>
      </w:tr>
      <w:tr>
        <w:trPr/>
        <w:tc>
          <w:tcPr>
            <w:tcW w:w="15277" w:type="dxa"/>
            <w:gridSpan w:val="8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  <w:p>
            <w:pPr>
              <w:pStyle w:val="Normal"/>
              <w:spacing w:before="0" w:after="200"/>
              <w:rPr/>
            </w:pPr>
            <w:r>
              <w:rPr/>
              <w:t>План реализации муниципальной программы Верхнехавского муниципального района Воронежской области "Содействие занятости населения" 2021 год</w:t>
            </w:r>
          </w:p>
        </w:tc>
      </w:tr>
      <w:tr>
        <w:trPr/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Статус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Наименование  подпрограммы,  основного мероприятия, мероприятия</w:t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Исполнитель мероприятия (структурное подразделение администрации, иной главный распорядитель средств местного бюджета), Ф.И.О., должность исполнителя)</w:t>
            </w:r>
          </w:p>
        </w:tc>
        <w:tc>
          <w:tcPr>
            <w:tcW w:w="3820" w:type="dxa"/>
            <w:gridSpan w:val="2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Срок</w:t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Расходы, предусмотренные решением Совета народных депутатов о местном бюджете, на год</w:t>
            </w:r>
          </w:p>
        </w:tc>
      </w:tr>
      <w:tr>
        <w:trPr/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начала реализации мероприятия в очередном финансовом году 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окончания реализации мероприятия в очередном финансовом году  </w:t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1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2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3</w:t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4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6</w:t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7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9</w:t>
            </w:r>
          </w:p>
        </w:tc>
      </w:tr>
      <w:tr>
        <w:trPr/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Муниципальная программа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Содействие занятости населения</w:t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количество вовлеченных во временную трудовую деятельность подростков и молодежи до 48 человек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51,6</w:t>
            </w:r>
          </w:p>
        </w:tc>
      </w:tr>
      <w:tr>
        <w:trPr/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Основное мероприятие 1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Реализация мероприятий активной политики занятости населения</w:t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9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количество вовлеченных во временную трудовую деятельность подростков и молодежи до 48 человек</w:t>
            </w:r>
          </w:p>
        </w:tc>
        <w:tc>
          <w:tcPr>
            <w:tcW w:w="1910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  <w:t>51,6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orient="landscape" w:w="16838" w:h="11906"/>
      <w:pgMar w:left="425" w:right="1134" w:header="0" w:top="851" w:footer="0" w:bottom="170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Georg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690443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3">
    <w:name w:val="Heading 3"/>
    <w:basedOn w:val="Normal"/>
    <w:link w:val="30"/>
    <w:uiPriority w:val="9"/>
    <w:qFormat/>
    <w:rsid w:val="0069044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Normal"/>
    <w:next w:val="Normal"/>
    <w:link w:val="40"/>
    <w:qFormat/>
    <w:rsid w:val="00690443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color w:val="000000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690443"/>
    <w:rPr/>
  </w:style>
  <w:style w:type="character" w:styleId="Style11">
    <w:name w:val="Выделение"/>
    <w:basedOn w:val="DefaultParagraphFont"/>
    <w:uiPriority w:val="20"/>
    <w:qFormat/>
    <w:rsid w:val="00690443"/>
    <w:rPr>
      <w:i/>
      <w:i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69044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69044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2" w:customStyle="1">
    <w:name w:val="Интернет-ссылка"/>
    <w:basedOn w:val="DefaultParagraphFont"/>
    <w:uiPriority w:val="99"/>
    <w:semiHidden/>
    <w:unhideWhenUsed/>
    <w:rsid w:val="00690443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690443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690443"/>
    <w:rPr>
      <w:rFonts w:ascii="Times New Roman" w:hAnsi="Times New Roman" w:eastAsia="Times New Roman" w:cs="Times New Roman"/>
      <w:b/>
      <w:bCs/>
      <w:color w:val="000000"/>
      <w:sz w:val="28"/>
      <w:szCs w:val="28"/>
      <w:lang w:eastAsia="ru-RU"/>
    </w:rPr>
  </w:style>
  <w:style w:type="character" w:styleId="Style13" w:customStyle="1">
    <w:name w:val="Текст Знак"/>
    <w:basedOn w:val="DefaultParagraphFont"/>
    <w:qFormat/>
    <w:rsid w:val="00690443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4" w:customStyle="1">
    <w:name w:val="Основной текст Знак"/>
    <w:basedOn w:val="DefaultParagraphFont"/>
    <w:qFormat/>
    <w:rsid w:val="00690443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690443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Style15" w:customStyle="1">
    <w:name w:val="Название Знак"/>
    <w:basedOn w:val="DefaultParagraphFont"/>
    <w:qFormat/>
    <w:rsid w:val="00690443"/>
    <w:rPr>
      <w:rFonts w:ascii="Times New Roman" w:hAnsi="Times New Roman" w:eastAsia="Times New Roman" w:cs="Times New Roman"/>
      <w:b/>
      <w:sz w:val="48"/>
      <w:szCs w:val="20"/>
      <w:lang w:eastAsia="ru-RU"/>
    </w:rPr>
  </w:style>
  <w:style w:type="character" w:styleId="FontStyle11" w:customStyle="1">
    <w:name w:val="Font Style11"/>
    <w:basedOn w:val="DefaultParagraphFont"/>
    <w:qFormat/>
    <w:rsid w:val="00690443"/>
    <w:rPr>
      <w:rFonts w:ascii="Times New Roman" w:hAnsi="Times New Roman" w:cs="Times New Roman"/>
      <w:sz w:val="26"/>
      <w:szCs w:val="26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b86f32"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690443"/>
    <w:pPr>
      <w:spacing w:lineRule="auto" w:line="240" w:before="0" w:after="12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nhideWhenUsed/>
    <w:qFormat/>
    <w:rsid w:val="0069044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uiPriority w:val="99"/>
    <w:semiHidden/>
    <w:unhideWhenUsed/>
    <w:qFormat/>
    <w:rsid w:val="00690443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PlainText">
    <w:name w:val="Plain Text"/>
    <w:basedOn w:val="Normal"/>
    <w:qFormat/>
    <w:rsid w:val="0069044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qFormat/>
    <w:rsid w:val="00690443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ConsPlusNormal" w:customStyle="1">
    <w:name w:val="ConsPlusNormal"/>
    <w:qFormat/>
    <w:rsid w:val="00690443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Calibri" w:cs="Arial" w:eastAsiaTheme="minorHAnsi"/>
      <w:color w:val="auto"/>
      <w:kern w:val="0"/>
      <w:sz w:val="22"/>
      <w:szCs w:val="20"/>
      <w:lang w:val="ru-RU" w:eastAsia="ru-RU" w:bidi="ar-SA"/>
    </w:rPr>
  </w:style>
  <w:style w:type="paragraph" w:styleId="Style22">
    <w:name w:val="Title"/>
    <w:basedOn w:val="Normal"/>
    <w:qFormat/>
    <w:rsid w:val="00690443"/>
    <w:pPr>
      <w:spacing w:lineRule="auto" w:line="360" w:before="0" w:after="0"/>
      <w:jc w:val="center"/>
    </w:pPr>
    <w:rPr>
      <w:rFonts w:ascii="Times New Roman" w:hAnsi="Times New Roman" w:eastAsia="Times New Roman" w:cs="Times New Roman"/>
      <w:b/>
      <w:sz w:val="48"/>
      <w:szCs w:val="20"/>
      <w:lang w:eastAsia="ru-RU"/>
    </w:rPr>
  </w:style>
  <w:style w:type="paragraph" w:styleId="ConsPlusTitle" w:customStyle="1">
    <w:name w:val="ConsPlusTitle"/>
    <w:qFormat/>
    <w:rsid w:val="0069044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690443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3" w:customStyle="1">
    <w:name w:val="Style2"/>
    <w:basedOn w:val="Normal"/>
    <w:qFormat/>
    <w:rsid w:val="00690443"/>
    <w:pPr>
      <w:widowControl w:val="false"/>
      <w:spacing w:lineRule="exact" w:line="319" w:before="0" w:after="0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b86f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7AEF-D0F1-4884-BF20-8B967500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Application>LibreOffice/6.4.4.2$Windows_X86_64 LibreOffice_project/3d775be2011f3886db32dfd395a6a6d1ca2630ff</Application>
  <Pages>20</Pages>
  <Words>2634</Words>
  <Characters>17953</Characters>
  <CharactersWithSpaces>20783</CharactersWithSpaces>
  <Paragraphs>566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2016-09-26T05:21:00Z</dcterms:created>
  <dc:creator>Соколова Елена Ивановна</dc:creator>
  <dc:description/>
  <dc:language>ru-RU</dc:language>
  <cp:lastModifiedBy/>
  <cp:lastPrinted>2022-01-27T13:53:54Z</cp:lastPrinted>
  <dcterms:modified xsi:type="dcterms:W3CDTF">2022-02-22T14:26:52Z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