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 w:eastAsia="Times New Roman" w:cs="Times New Roman"/>
          <w:color w:val="4D4E4C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D4E4C"/>
          <w:sz w:val="24"/>
          <w:szCs w:val="24"/>
          <w:lang w:eastAsia="ru-RU"/>
        </w:rPr>
        <w:t>Приложение №1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Верхнехавского муниципального района 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Воронежской области   №</w:t>
      </w:r>
      <w:r>
        <w:rPr>
          <w:rFonts w:ascii="Times New Roman" w:hAnsi="Times New Roman"/>
          <w:sz w:val="24"/>
          <w:szCs w:val="24"/>
          <w:lang w:val="en-US"/>
        </w:rPr>
        <w:t xml:space="preserve">701 </w:t>
      </w: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  <w:lang w:val="en-US"/>
        </w:rPr>
        <w:t xml:space="preserve"> 14</w:t>
      </w:r>
      <w:r>
        <w:rPr>
          <w:rFonts w:ascii="Times New Roman" w:hAnsi="Times New Roman"/>
          <w:sz w:val="24"/>
          <w:szCs w:val="24"/>
        </w:rPr>
        <w:t>.11.2022 г.</w:t>
      </w:r>
      <w:bookmarkStart w:id="0" w:name="_GoBack"/>
      <w:bookmarkEnd w:id="0"/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Georgia" w:hAnsi="Georgia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Georgia" w:hAnsi="Georgia"/>
          <w:color w:val="000000"/>
          <w:sz w:val="20"/>
          <w:szCs w:val="20"/>
          <w:lang w:eastAsia="ru-RU"/>
        </w:rPr>
      </w:r>
    </w:p>
    <w:p>
      <w:pPr>
        <w:pStyle w:val="ConsPlusNormal"/>
        <w:widowControl/>
        <w:ind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Муниципальная программа Верхнехавского муниципального района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Воронежской области "Содействие занятости населения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"</w:t>
      </w:r>
    </w:p>
    <w:p>
      <w:pPr>
        <w:pStyle w:val="Normal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П А С П О Р Т</w:t>
      </w:r>
    </w:p>
    <w:tbl>
      <w:tblPr>
        <w:tblW w:w="904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49"/>
        <w:gridCol w:w="5790"/>
      </w:tblGrid>
      <w:tr>
        <w:trPr>
          <w:trHeight w:val="898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882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1417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Отдел по экономике и управлению муниципальным имуществом Верхнехавского муниципального района Воронежской области, центр занятости населения Верхнехавского района, финансовый отдел администрации</w:t>
            </w:r>
          </w:p>
        </w:tc>
      </w:tr>
      <w:tr>
        <w:trPr>
          <w:trHeight w:val="743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Основное мероприятие 1. Реализация мероприятий активной политики занятости населения</w:t>
            </w:r>
          </w:p>
        </w:tc>
      </w:tr>
      <w:tr>
        <w:trPr>
          <w:trHeight w:val="897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содействие временной занятости подростков и молодежи   в каникулярные периоды и в свободное от учебы время.</w:t>
            </w:r>
          </w:p>
        </w:tc>
      </w:tr>
      <w:tr>
        <w:trPr>
          <w:trHeight w:val="2901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оказание   материальной и социальной поддержки подросткам и молодежи, находящимся в сложной жизненной ситуации;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  вовлечение подростков и молодежи в социально значимую и полезную трудовую деятельность;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-содействие в профессиональном самоопределении подросткам и молодежи в возрасте от 14 до 18 лет;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-профилактика подростковой безнадзорности и предупреждение правонарушений среди несовершеннолетних граждан.</w:t>
            </w:r>
          </w:p>
        </w:tc>
      </w:tr>
      <w:tr>
        <w:trPr>
          <w:trHeight w:val="602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молодежи, чел.</w:t>
            </w:r>
          </w:p>
        </w:tc>
      </w:tr>
      <w:tr>
        <w:trPr>
          <w:trHeight w:val="744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Программа реализуется в один этап с 2016 по 2024 годы</w:t>
            </w:r>
          </w:p>
        </w:tc>
      </w:tr>
      <w:tr>
        <w:trPr>
          <w:trHeight w:val="169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Объем финансирования муниципальной программы за счет средств областного бюджета 402,5 тыс.руб., в том числе по годам реализации: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2016 год- 55,8 тыс. руб. 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2017 год- 67,5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2018 год- 78,8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2019 год- 78,8 тыс.руб.   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2020 год-  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2021 год-  51,6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2022 год- 0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2023 год- 0 тыс.руб</w:t>
            </w:r>
          </w:p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2024 год- 70,0 тыс.руб.</w:t>
            </w:r>
          </w:p>
        </w:tc>
      </w:tr>
      <w:tr>
        <w:trPr>
          <w:trHeight w:val="1151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 к 2024 году составит до 465 человека, в том числе из семей социального риска не менее 50 человек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1.Общая характеристика сферы реализации муниципальной программы</w:t>
      </w:r>
    </w:p>
    <w:p>
      <w:pPr>
        <w:pStyle w:val="Normal"/>
        <w:shd w:val="clear" w:color="auto" w:fill="FFFFFF"/>
        <w:spacing w:lineRule="atLeast" w:line="273" w:before="0" w:after="0"/>
        <w:ind w:firstLine="708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Верхнехавском муниципальном районе сложилась определенная система работы    по организации временного трудоустройства подростков и молодежи. Этому предшествовала плодотворная работа отдела образования, физической культуры и спорта администрации Верхнехавского муниципального района и ГКУ ВО ЦЗН Верхнехавского муниципального района.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Недостаточный материальный уровень доходов большей части населения изменил жизненную позицию   подростков и молодежи. Многие из них стремятся заработать деньги, помочь своей семье.  Особенно уязвима та категория молодых людей, которые    воспитываются в малообеспеченных семьях и семьях социального риска.   Предусматриваемые   денежные средства в рамках реализации мероприятий по временному трудоустройству были направлены на выплату заработной платы    подросткам и молодежи за фактически отработанное время.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целях профилактики безнадзорности и правонарушений   в молодежной среде, повышения  у подрастающего поколения  мотивации  к труду, создания   условий  для формирования активной жизненной позиции молодежи, а также снижения  уровня   социальной напряженности   среди  молодежи,  администрация   Верхнехавского муниципального района совместно с ГКУ ВО Центр занятости населения Верхнехавского района ежегодно   обеспечивают  предоставление гарантий занятости, в том числе несовершеннолетним  гражданам.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Необходимость использования комплексного подхода к решению    задач в сфере организации временного трудоустройства подростков и молодежи обуславливает решение   проблемы программно-целевым методом.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Принятие муниципальной программы «Содействие занятости населения в Верхнехавском муниципальном районе (далее-Программа) позволит, прежде всего: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-обеспечить временную внеурочную занятость подростков и молодежи;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-привлечь   к трудовой деятельности подростков, состоящих на учете в комиссии по делам несовершеннолетних и защите их прав;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-оказать материальную поддержку    подросткам и молодежи, из семей социального риска.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Трудоустройство молодежи - важнейшая социальная задача. Первый опыт работы помогает молодому человеку осознать себя нужным и полезным членом общества, подготовиться к самостоятельной жизни.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Программа призвана стимулировать инициативность подростков, стремление попробовать свои силы в различных видах деятельности.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Трудоустройство несовершеннолетних граждан - одно из приоритетных направлений реализации молодежной политики в Верхнехавском муниципальном районе в рамках содействия занятости и организации мероприятий по профилактике правонарушений.                                  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Деятельность по организации трудоустройства данной категории граждан осуществляется совместно с ГКУ ВО Центр занятости населения Верхнехавского района, отделом образования, физической культуры и спорта администрации Верхнехавского муниципального района, образовательными учреждениями Верхнехавского муниципального района.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Согласно программным мероприятиям, с 2016 года по 2024 год на организацию мероприятий   в рамках временного трудоустройства подростков и молодежи из областного бюджета будут выделены денежные средства   в сумме 402,5 тыс. рублей, в том числе по годам: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2016 год- 55,8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2017 год- 67,5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2018 год- 78,8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2019 год- 78,8 тыс. 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2020 год-  0 тыс. 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2021 год — 51,6 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2022 год- 0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2023 год- 0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4D4E4C"/>
          <w:sz w:val="28"/>
          <w:szCs w:val="28"/>
          <w:lang w:eastAsia="ru-RU"/>
        </w:rPr>
        <w:t>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024 год- 70,0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Некоторые итоги трудоустройства несовершеннолетних граждан в каникулярные за 2013 -2015 годы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Отдел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 в течение 2013-2015 годов осуществлял работу по организации временных рабочих мест несовершеннолетних граждан, не только в каникулярное, но и в свободное от учебы время, что способствовало обеспечению временной занятости подростков и молодежи, прежде всего, из семей социального риска.  Работы, организуемые для несовершеннолетних граждан, имели социально-полезную направленность, а именно: благоустройство территории школ, пришкольных территорий, парков, скверов.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 каждым годом отмечается рост активности подростков, желающих принимать   участие во временных работах    в каникулярные периоды и в свободное от учебы время. Групповые формы организации трудовой деятельности позволили    охватить   максимальное количество подростков, в том числе   находящихся в сложной жизненной ситуации.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       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Информация   о привлечении дополнительных средств из областного бюджета на организацию временной трудовой занятости подростков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W w:w="8913" w:type="dxa"/>
        <w:jc w:val="left"/>
        <w:tblInd w:w="9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13"/>
        <w:gridCol w:w="1620"/>
        <w:gridCol w:w="2307"/>
        <w:gridCol w:w="1566"/>
        <w:gridCol w:w="2207"/>
      </w:tblGrid>
      <w:tr>
        <w:trPr/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трудоуст-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роенных подростков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3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Формы организации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занятости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несовершен-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1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Общее количество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денежных средств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2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Статьи расходов</w:t>
            </w:r>
          </w:p>
        </w:tc>
      </w:tr>
      <w:tr>
        <w:trPr/>
        <w:tc>
          <w:tcPr>
            <w:tcW w:w="1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 2014 г.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Трудовые бригады</w:t>
            </w:r>
          </w:p>
        </w:tc>
        <w:tc>
          <w:tcPr>
            <w:tcW w:w="156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14522</w:t>
            </w:r>
          </w:p>
        </w:tc>
        <w:tc>
          <w:tcPr>
            <w:tcW w:w="22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  <w:tr>
        <w:trPr/>
        <w:tc>
          <w:tcPr>
            <w:tcW w:w="121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07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Лагеря труда и отдыха, дневного пребывания</w:t>
            </w:r>
          </w:p>
        </w:tc>
        <w:tc>
          <w:tcPr>
            <w:tcW w:w="1566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26991</w:t>
            </w:r>
          </w:p>
        </w:tc>
        <w:tc>
          <w:tcPr>
            <w:tcW w:w="2207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  <w:tr>
        <w:trPr>
          <w:trHeight w:val="2790" w:hRule="atLeast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Июнь-август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2015 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Лагеря труда и отдыха, дневного пребывания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12412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Также большое значение имеет   данная Программа по предоставлению   возможности для подростков и молодежи трудоустроиться индивидуально.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Ежегодно в целях   профилактики   безнадзорности и правонарушений активная социальная работа проводится отделом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 с детьми и подростками на площадках по месту жительства, в лагерях дневного пребывания.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Анализ реализации мероприятий по трудоустройству подростков и молодежи за предыдущие периоды показывает, что   с каждым годом растет количество подростков, желающих   работать в каникулярное и свободное от учебы время.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center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3. Приоритеты муниципальной политики в сфере реализации муниципальной программы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tLeast" w:line="273" w:before="0" w:after="0"/>
        <w:ind w:firstLine="708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jc w:val="left"/>
        <w:tblInd w:w="-74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2590"/>
        <w:gridCol w:w="1374"/>
        <w:gridCol w:w="1178"/>
        <w:gridCol w:w="1098"/>
      </w:tblGrid>
      <w:tr>
        <w:trPr/>
        <w:tc>
          <w:tcPr>
            <w:tcW w:w="3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5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Обоснование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3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1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0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финанси-рования</w:t>
            </w:r>
          </w:p>
        </w:tc>
      </w:tr>
      <w:tr>
        <w:trPr/>
        <w:tc>
          <w:tcPr>
            <w:tcW w:w="9354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          </w:t>
            </w:r>
          </w:p>
          <w:p>
            <w:pPr>
              <w:pStyle w:val="Normal"/>
              <w:spacing w:lineRule="atLeast" w:line="273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    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1.Организационная работа по трудоустройству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1.1. Организационная работа   с образова-тельными учреждениями района по выявлению   желающих   трудоустроится в каникулярный период</w:t>
            </w:r>
          </w:p>
        </w:tc>
        <w:tc>
          <w:tcPr>
            <w:tcW w:w="25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Подготовка  заявок, составление  списков, определение  объемов труда с учетом согласования с работодателями</w:t>
            </w: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ЦЗН, образова-тельные учреждения</w:t>
            </w:r>
          </w:p>
        </w:tc>
        <w:tc>
          <w:tcPr>
            <w:tcW w:w="117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Март-май  ежегодно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1.2.Проведение мероприятий  профориентационной направленности</w:t>
            </w:r>
          </w:p>
        </w:tc>
        <w:tc>
          <w:tcPr>
            <w:tcW w:w="2590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Создание банка данных рабочих мест   для  учащейся молодежи</w:t>
            </w:r>
          </w:p>
        </w:tc>
        <w:tc>
          <w:tcPr>
            <w:tcW w:w="1374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ЦЗН, образова-тельные учреждения 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098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>
        <w:trPr/>
        <w:tc>
          <w:tcPr>
            <w:tcW w:w="93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                   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2.Организация и проведение временного трудоустройства</w:t>
            </w:r>
          </w:p>
        </w:tc>
      </w:tr>
      <w:tr>
        <w:trPr/>
        <w:tc>
          <w:tcPr>
            <w:tcW w:w="31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2.1.Заключение договоров с работодателями. 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Привлечение  работодателей   к временному трудоустройству молодежи</w:t>
            </w:r>
          </w:p>
        </w:tc>
        <w:tc>
          <w:tcPr>
            <w:tcW w:w="137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До 01 июня  ежегодно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2.2. В соответствии с заявками, направление   учащихся и студентов  в  учреждения  и  предприятия  работодателей 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Организация  трудовой деятельности  в соответствии с объемами  и видами работ</w:t>
            </w: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,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работодатели</w:t>
            </w:r>
          </w:p>
        </w:tc>
        <w:tc>
          <w:tcPr>
            <w:tcW w:w="117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Июнь-август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2.3.Подготовка  пакета документов для оплаты  труда подросткам и молодежи</w:t>
            </w:r>
          </w:p>
        </w:tc>
        <w:tc>
          <w:tcPr>
            <w:tcW w:w="25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Оплата  труда    подросткам и молодежи</w:t>
            </w: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учреждения,       ГКУ ВО ЦЗН </w:t>
            </w:r>
          </w:p>
        </w:tc>
        <w:tc>
          <w:tcPr>
            <w:tcW w:w="117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Подготовка  пакета документов для оплаты  труда подросткам и молодежи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2.4. Организация контроля  по проведению   занятости несовершеннолетних   в каникулярные периоды и в свободное от учебы время</w:t>
            </w:r>
          </w:p>
        </w:tc>
        <w:tc>
          <w:tcPr>
            <w:tcW w:w="25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Контроль за   количеством   трудоустроенных    молодых граждан в     каникулярные периоды и в свободное от учебы время</w:t>
            </w: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</w:p>
        </w:tc>
        <w:tc>
          <w:tcPr>
            <w:tcW w:w="117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Июнь-ноябрь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2.6. Подведение итогов  по организации   трудовой занятости подростков  и молодежи в каникулярные периоды и в сводное от учебы  время.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Составление аналитической информации- отчета о реализации мероприятий.</w:t>
            </w:r>
          </w:p>
        </w:tc>
        <w:tc>
          <w:tcPr>
            <w:tcW w:w="25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</w:p>
        </w:tc>
        <w:tc>
          <w:tcPr>
            <w:tcW w:w="117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b/>
          <w:b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4. Обоснование выделения подпрограмм и обобщенная характеристика основных мероприятий.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связи с тем, что предусмотренные программой мероприятия имеют одну цель- вовлечение подростков и молодежи в трудовую деятельность-, выделение подпрограмм не предусмотрено.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5. Ресурсное обеспечение Программы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Особенности трудоустройства лиц    в возрасте до 18 лет регулируются    главой 42 Трудового кодекса Российской Федерации (далее- ТК РФ).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Выполнение подростками работ, которые не влияют на их здоровье и развитие, а также не препятствуют получению образования, помогает   подросткам    получить навыки и опыт.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Согласно ст.63 ТК РФ «Возраст, с которого допускается    заключение трудового договора» заключение трудового договора возможно с лицами, достигшими возраста 16 лет. С согласия одного из родителей (попечителя) и органа опеки и попечительства трудовой договор может быть заключен с учащимися, достигшими   возраста    14 лет, для выполнения в свободное от учебы время легкого труда, не причиняющего вреда их здоровью и не нарушающего процесса обучения.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соответствии со ст. 271 «Оплата труда работников в возрасте до 18 лет при сокращенной продолжительности ежедневной работы» ТК РФ при повременной оплате труда заработная плата работникам в возрасте до 18 лет выплачивается с учетом сокращенной продолжительности работы.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Оплата труда работников   в возрасте до 18 лет, обучающихся в общеобразовательных учреждениях, образовательных учреждениях начального, среднего и высшего профессионального образования и работающих в свободное от учебы время, производится пропорционально отработанному времени или в зависимости от выработки.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 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Планируемая общая сумма денежных средств из областного бюджета, в рамках реализации Программы на 2016-2024 годы, составит: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402,5 тысяч рублей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6.Оценка эффективности реализации муниципальной Программы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 результате реализации Программы будут достигнуты следующие результаты: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-увеличение доли молодых людей, участвующих в мероприятиях, в рамках организации временного трудоустройства в каникулярные периоды и в свободное от учебы время    в общем количестве учащейся молодежи в возрасте до 20 лет – до 8 %;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-увеличение доли молодых людей, находящихся в сложной жизненной ситуации, в том числе из семей социального риска, вовлеченных в программные мероприятия в целях профилактики асоциального поведения, правонарушений и безнадзорности в молодежной среде - до 70%.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sectPr>
          <w:type w:val="nextPage"/>
          <w:pgSz w:w="11906" w:h="16838"/>
          <w:pgMar w:left="1701" w:right="851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 w:eastAsia="Times New Roman" w:cs="Times New Roman"/>
          <w:color w:val="4D4E4C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D4E4C"/>
          <w:sz w:val="24"/>
          <w:szCs w:val="24"/>
          <w:lang w:eastAsia="ru-RU"/>
        </w:rPr>
        <w:t>Приложение №1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Верхнехавского муниципального района 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Воронежской области   №</w:t>
      </w:r>
      <w:r>
        <w:rPr>
          <w:rFonts w:ascii="Times New Roman" w:hAnsi="Times New Roman"/>
          <w:sz w:val="24"/>
          <w:szCs w:val="24"/>
          <w:lang w:val="en-US"/>
        </w:rPr>
        <w:t xml:space="preserve">701 </w:t>
      </w: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  <w:lang w:val="en-US"/>
        </w:rPr>
        <w:t xml:space="preserve"> 14</w:t>
      </w:r>
      <w:r>
        <w:rPr>
          <w:rFonts w:ascii="Times New Roman" w:hAnsi="Times New Roman"/>
          <w:sz w:val="24"/>
          <w:szCs w:val="24"/>
        </w:rPr>
        <w:t>.11.2022 г.</w:t>
      </w:r>
      <w:bookmarkStart w:id="1" w:name="_GoBack1"/>
      <w:bookmarkEnd w:id="1"/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Georgia" w:hAnsi="Georgia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Georgia" w:hAnsi="Georgia"/>
          <w:color w:val="000000"/>
          <w:sz w:val="20"/>
          <w:szCs w:val="20"/>
          <w:lang w:eastAsia="ru-RU"/>
        </w:rPr>
      </w:r>
    </w:p>
    <w:p>
      <w:pPr>
        <w:pStyle w:val="ConsPlusNormal"/>
        <w:widowControl/>
        <w:ind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Муниципальная программа Верхнехавского муниципального района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Воронежской области "Содействие занятости населения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"</w:t>
      </w:r>
    </w:p>
    <w:p>
      <w:pPr>
        <w:pStyle w:val="Normal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П А С П О Р Т</w:t>
      </w:r>
    </w:p>
    <w:tbl>
      <w:tblPr>
        <w:tblW w:w="904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49"/>
        <w:gridCol w:w="5790"/>
      </w:tblGrid>
      <w:tr>
        <w:trPr>
          <w:trHeight w:val="898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882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1417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Отдел по экономике и управлению муниципальным имуществом Верхнехавского муниципального района Воронежской области, центр занятости населения Верхнехавского района, финансовый отдел администрации</w:t>
            </w:r>
          </w:p>
        </w:tc>
      </w:tr>
      <w:tr>
        <w:trPr>
          <w:trHeight w:val="743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Основное мероприятие 1. Реализация мероприятий активной политики занятости населения</w:t>
            </w:r>
          </w:p>
        </w:tc>
      </w:tr>
      <w:tr>
        <w:trPr>
          <w:trHeight w:val="897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содействие временной занятости подростков и молодежи   в каникулярные периоды и в свободное от учебы время.</w:t>
            </w:r>
          </w:p>
        </w:tc>
      </w:tr>
      <w:tr>
        <w:trPr>
          <w:trHeight w:val="2901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оказание   материальной и социальной поддержки подросткам и молодежи, находящимся в сложной жизненной ситуации;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  вовлечение подростков и молодежи в социально значимую и полезную трудовую деятельность;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-содействие в профессиональном самоопределении подросткам и молодежи в возрасте от 14 до 18 лет;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-профилактика подростковой безнадзорности и предупреждение правонарушений среди несовершеннолетних граждан.</w:t>
            </w:r>
          </w:p>
        </w:tc>
      </w:tr>
      <w:tr>
        <w:trPr>
          <w:trHeight w:val="602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молодежи, чел.</w:t>
            </w:r>
          </w:p>
        </w:tc>
      </w:tr>
      <w:tr>
        <w:trPr>
          <w:trHeight w:val="744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Программа реализуется в один этап с 2016 по 2024 годы</w:t>
            </w:r>
          </w:p>
        </w:tc>
      </w:tr>
      <w:tr>
        <w:trPr>
          <w:trHeight w:val="169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Объем финансирования муниципальной программы за счет средств областного бюджета 402,5 тыс.руб., в том числе по годам реализации: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2016 год- 55,8 тыс. руб. 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2017 год- 67,5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2018 год- 78,8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2019 год- 78,8 тыс.руб.   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2020 год-  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2021 год-  51,6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2022 год- 0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2023 год- 0 тыс.руб</w:t>
            </w:r>
          </w:p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2024 год- 70,0 тыс.руб.</w:t>
            </w:r>
          </w:p>
        </w:tc>
      </w:tr>
      <w:tr>
        <w:trPr>
          <w:trHeight w:val="1151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 к 2024 году составит до 465 человека, в том числе из семей социального риска не менее 50 человек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sectPr>
          <w:type w:val="nextPage"/>
          <w:pgSz w:w="11906" w:h="16838"/>
          <w:pgMar w:left="1701" w:right="851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tbl>
      <w:tblPr>
        <w:tblW w:w="13577" w:type="dxa"/>
        <w:jc w:val="left"/>
        <w:tblInd w:w="-30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600"/>
        <w:gridCol w:w="4184"/>
        <w:gridCol w:w="809"/>
        <w:gridCol w:w="808"/>
        <w:gridCol w:w="808"/>
        <w:gridCol w:w="808"/>
        <w:gridCol w:w="808"/>
        <w:gridCol w:w="807"/>
        <w:gridCol w:w="920"/>
        <w:gridCol w:w="997"/>
        <w:gridCol w:w="1077"/>
        <w:gridCol w:w="950"/>
      </w:tblGrid>
      <w:tr>
        <w:trPr>
          <w:trHeight w:val="540" w:hRule="atLeast"/>
        </w:trPr>
        <w:tc>
          <w:tcPr>
            <w:tcW w:w="60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left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184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left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8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left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80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6225" w:type="dxa"/>
            <w:gridSpan w:val="7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right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 xml:space="preserve">Приложение 2 </w:t>
            </w:r>
          </w:p>
        </w:tc>
        <w:tc>
          <w:tcPr>
            <w:tcW w:w="95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right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>
          <w:trHeight w:val="1155" w:hRule="atLeast"/>
        </w:trPr>
        <w:tc>
          <w:tcPr>
            <w:tcW w:w="13576" w:type="dxa"/>
            <w:gridSpan w:val="1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Сведения о показателях (индикаторах) муниципальной программы  Верхнехавского муниципального района Воронежской области  "Содействие занятости населения"</w:t>
            </w:r>
          </w:p>
        </w:tc>
      </w:tr>
      <w:tr>
        <w:trPr>
          <w:trHeight w:val="1125" w:hRule="atLeast"/>
        </w:trPr>
        <w:tc>
          <w:tcPr>
            <w:tcW w:w="60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4184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Наименование показателя (индикатора)</w:t>
            </w:r>
          </w:p>
        </w:tc>
        <w:tc>
          <w:tcPr>
            <w:tcW w:w="80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Ед. измерения</w:t>
            </w:r>
          </w:p>
        </w:tc>
        <w:tc>
          <w:tcPr>
            <w:tcW w:w="7983" w:type="dxa"/>
            <w:gridSpan w:val="9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Значения показателя (индикатора) по годам реализации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60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184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80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2016</w:t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2017</w:t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2018</w:t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2019</w:t>
            </w:r>
          </w:p>
        </w:tc>
        <w:tc>
          <w:tcPr>
            <w:tcW w:w="80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2020</w:t>
            </w:r>
          </w:p>
        </w:tc>
        <w:tc>
          <w:tcPr>
            <w:tcW w:w="92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2021</w:t>
            </w:r>
          </w:p>
        </w:tc>
        <w:tc>
          <w:tcPr>
            <w:tcW w:w="99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2022</w:t>
            </w:r>
          </w:p>
        </w:tc>
        <w:tc>
          <w:tcPr>
            <w:tcW w:w="107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2023</w:t>
            </w:r>
          </w:p>
        </w:tc>
        <w:tc>
          <w:tcPr>
            <w:tcW w:w="95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2024</w:t>
            </w:r>
          </w:p>
        </w:tc>
      </w:tr>
      <w:tr>
        <w:trPr>
          <w:trHeight w:val="315" w:hRule="atLeast"/>
        </w:trPr>
        <w:tc>
          <w:tcPr>
            <w:tcW w:w="60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1</w:t>
            </w:r>
          </w:p>
        </w:tc>
        <w:tc>
          <w:tcPr>
            <w:tcW w:w="4184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</w:t>
            </w:r>
          </w:p>
        </w:tc>
        <w:tc>
          <w:tcPr>
            <w:tcW w:w="80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3</w:t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4</w:t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5</w:t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6</w:t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7</w:t>
            </w:r>
          </w:p>
        </w:tc>
        <w:tc>
          <w:tcPr>
            <w:tcW w:w="80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8</w:t>
            </w:r>
          </w:p>
        </w:tc>
        <w:tc>
          <w:tcPr>
            <w:tcW w:w="92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9</w:t>
            </w:r>
          </w:p>
        </w:tc>
        <w:tc>
          <w:tcPr>
            <w:tcW w:w="99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10</w:t>
            </w:r>
          </w:p>
        </w:tc>
        <w:tc>
          <w:tcPr>
            <w:tcW w:w="107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11</w:t>
            </w:r>
          </w:p>
        </w:tc>
        <w:tc>
          <w:tcPr>
            <w:tcW w:w="95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12</w:t>
            </w:r>
          </w:p>
        </w:tc>
      </w:tr>
      <w:tr>
        <w:trPr>
          <w:trHeight w:val="720" w:hRule="atLeast"/>
        </w:trPr>
        <w:tc>
          <w:tcPr>
            <w:tcW w:w="13576" w:type="dxa"/>
            <w:gridSpan w:val="1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Муниципальная программа Верхнехавского муниципального района Воронежской области " Содействие занятости населения "</w:t>
            </w:r>
          </w:p>
        </w:tc>
      </w:tr>
      <w:tr>
        <w:trPr>
          <w:trHeight w:val="705" w:hRule="atLeast"/>
        </w:trPr>
        <w:tc>
          <w:tcPr>
            <w:tcW w:w="13576" w:type="dxa"/>
            <w:gridSpan w:val="1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Основное мероприятие 1. Реализация мероприятий активной политики занятости населения</w:t>
            </w:r>
          </w:p>
        </w:tc>
      </w:tr>
      <w:tr>
        <w:trPr>
          <w:trHeight w:val="1643" w:hRule="atLeast"/>
        </w:trPr>
        <w:tc>
          <w:tcPr>
            <w:tcW w:w="60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1</w:t>
            </w:r>
          </w:p>
        </w:tc>
        <w:tc>
          <w:tcPr>
            <w:tcW w:w="4184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количество вовлеченных во временную трудовую деятельность подростков и молодежи</w:t>
            </w:r>
          </w:p>
        </w:tc>
        <w:tc>
          <w:tcPr>
            <w:tcW w:w="80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чел.</w:t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</w:t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40</w:t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74</w:t>
            </w:r>
          </w:p>
        </w:tc>
        <w:tc>
          <w:tcPr>
            <w:tcW w:w="8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60</w:t>
            </w:r>
          </w:p>
        </w:tc>
        <w:tc>
          <w:tcPr>
            <w:tcW w:w="80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30</w:t>
            </w:r>
          </w:p>
        </w:tc>
        <w:tc>
          <w:tcPr>
            <w:tcW w:w="92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48</w:t>
            </w:r>
          </w:p>
        </w:tc>
        <w:tc>
          <w:tcPr>
            <w:tcW w:w="99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93</w:t>
            </w:r>
          </w:p>
        </w:tc>
        <w:tc>
          <w:tcPr>
            <w:tcW w:w="107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50</w:t>
            </w:r>
          </w:p>
        </w:tc>
        <w:tc>
          <w:tcPr>
            <w:tcW w:w="95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spacing w:before="0" w:after="200"/>
              <w:jc w:val="center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50</w:t>
            </w:r>
          </w:p>
        </w:tc>
      </w:tr>
    </w:tbl>
    <w:p>
      <w:pPr>
        <w:pStyle w:val="Normal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  <w:tab/>
        <w:tab/>
        <w:tab/>
        <w:tab/>
        <w:tab/>
        <w:tab/>
      </w:r>
    </w:p>
    <w:tbl>
      <w:tblPr>
        <w:tblW w:w="14564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473"/>
        <w:gridCol w:w="1759"/>
        <w:gridCol w:w="2782"/>
        <w:gridCol w:w="1022"/>
        <w:gridCol w:w="955"/>
        <w:gridCol w:w="968"/>
        <w:gridCol w:w="900"/>
        <w:gridCol w:w="914"/>
        <w:gridCol w:w="900"/>
        <w:gridCol w:w="54"/>
        <w:gridCol w:w="55"/>
        <w:gridCol w:w="13"/>
        <w:gridCol w:w="40"/>
        <w:gridCol w:w="910"/>
        <w:gridCol w:w="911"/>
        <w:gridCol w:w="908"/>
      </w:tblGrid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091" w:type="dxa"/>
            <w:gridSpan w:val="15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 xml:space="preserve">                                            </w:t>
            </w:r>
            <w:r>
              <w:rPr/>
              <w:t xml:space="preserve">                                                                                                                                                                                      </w:t>
            </w:r>
            <w:r>
              <w:rPr/>
              <w:t>Приложение 3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1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4564" w:type="dxa"/>
            <w:gridSpan w:val="16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 xml:space="preserve">Расходы местного бюджета на реализацию муниципальной программы Верхнехавского муниципального района  Воронежской области Муниципальная программа Верхнехавского муниципального района Воронежской области  "Содействие занятости населения"                               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Статус</w:t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550" w:type="dxa"/>
            <w:gridSpan w:val="13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Расходы местного бюджета по годам реализации муниципальной программы, тыс. руб.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2016</w:t>
            </w:r>
          </w:p>
        </w:tc>
        <w:tc>
          <w:tcPr>
            <w:tcW w:w="9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2017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2018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2019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2020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2021</w:t>
            </w:r>
          </w:p>
        </w:tc>
        <w:tc>
          <w:tcPr>
            <w:tcW w:w="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2022</w:t>
            </w:r>
          </w:p>
        </w:tc>
        <w:tc>
          <w:tcPr>
            <w:tcW w:w="911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2023</w:t>
            </w:r>
          </w:p>
        </w:tc>
        <w:tc>
          <w:tcPr>
            <w:tcW w:w="90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2024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1</w:t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2</w:t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3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4</w:t>
            </w:r>
          </w:p>
        </w:tc>
        <w:tc>
          <w:tcPr>
            <w:tcW w:w="9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5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6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7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8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9</w:t>
            </w:r>
          </w:p>
        </w:tc>
        <w:tc>
          <w:tcPr>
            <w:tcW w:w="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10</w:t>
            </w:r>
          </w:p>
        </w:tc>
        <w:tc>
          <w:tcPr>
            <w:tcW w:w="911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11</w:t>
            </w:r>
          </w:p>
        </w:tc>
        <w:tc>
          <w:tcPr>
            <w:tcW w:w="90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12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МУНИЦИПАЛЬНАЯ ПРОГРАММА</w:t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 xml:space="preserve"> </w:t>
            </w:r>
            <w:r>
              <w:rPr/>
              <w:t>"Содействие занятости населения"</w:t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всего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11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в том числе по ГРБС: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11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ответственный исполнитель :Отдел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1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исполнитель 1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1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1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Основное мероприятие 1.</w:t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Реализация мероприятий активной политики занятости населения</w:t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всего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11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в том числе по ГРБС: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11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0,00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7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78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  <w:t>ответственный исполнитель :Отдел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4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1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ab/>
        <w:tab/>
        <w:tab/>
        <w:tab/>
        <w:tab/>
        <w:tab/>
      </w:r>
    </w:p>
    <w:tbl>
      <w:tblPr>
        <w:tblW w:w="14564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814"/>
        <w:gridCol w:w="2154"/>
        <w:gridCol w:w="2087"/>
        <w:gridCol w:w="913"/>
        <w:gridCol w:w="968"/>
        <w:gridCol w:w="914"/>
        <w:gridCol w:w="1009"/>
        <w:gridCol w:w="914"/>
        <w:gridCol w:w="1022"/>
        <w:gridCol w:w="900"/>
        <w:gridCol w:w="969"/>
        <w:gridCol w:w="900"/>
      </w:tblGrid>
      <w:tr>
        <w:trPr/>
        <w:tc>
          <w:tcPr>
            <w:tcW w:w="14564" w:type="dxa"/>
            <w:gridSpan w:val="12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Приложение 5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4564" w:type="dxa"/>
            <w:gridSpan w:val="12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муниципального района  Воронежской области  "Содействие занятости населения"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8509" w:type="dxa"/>
            <w:gridSpan w:val="9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"Содействие занятости населения"</w:t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 1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8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15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208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hanging="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913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8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4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  <w:tc>
          <w:tcPr>
            <w:tcW w:w="96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ind w:firstLine="390"/>
              <w:jc w:val="both"/>
              <w:rPr>
                <w:rFonts w:ascii="Georgia" w:hAnsi="Georgia" w:eastAsia="Times New Roman" w:cs="Times New Roman"/>
                <w:color w:val="4D4E4C"/>
                <w:sz w:val="20"/>
                <w:szCs w:val="20"/>
                <w:lang w:eastAsia="ru-RU"/>
              </w:rPr>
            </w:pPr>
            <w:r>
              <w:rPr/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Georg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690443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3">
    <w:name w:val="Heading 3"/>
    <w:basedOn w:val="Normal"/>
    <w:link w:val="30"/>
    <w:uiPriority w:val="9"/>
    <w:qFormat/>
    <w:rsid w:val="0069044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Normal"/>
    <w:next w:val="Normal"/>
    <w:link w:val="40"/>
    <w:qFormat/>
    <w:rsid w:val="00690443"/>
    <w:pPr>
      <w:keepNext w:val="true"/>
      <w:spacing w:lineRule="auto" w:line="240" w:before="240" w:after="60"/>
      <w:outlineLvl w:val="3"/>
    </w:pPr>
    <w:rPr>
      <w:rFonts w:ascii="Times New Roman" w:hAnsi="Times New Roman" w:eastAsia="Times New Roman" w:cs="Times New Roman"/>
      <w:b/>
      <w:bCs/>
      <w:color w:val="000000"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690443"/>
    <w:rPr/>
  </w:style>
  <w:style w:type="character" w:styleId="Style11">
    <w:name w:val="Выделение"/>
    <w:basedOn w:val="DefaultParagraphFont"/>
    <w:uiPriority w:val="20"/>
    <w:qFormat/>
    <w:rsid w:val="00690443"/>
    <w:rPr>
      <w:i/>
      <w:iCs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69044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69044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2" w:customStyle="1">
    <w:name w:val="Интернет-ссылка"/>
    <w:basedOn w:val="DefaultParagraphFont"/>
    <w:uiPriority w:val="99"/>
    <w:semiHidden/>
    <w:unhideWhenUsed/>
    <w:rsid w:val="00690443"/>
    <w:rPr>
      <w:color w:val="0000FF"/>
      <w:u w:val="single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690443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690443"/>
    <w:rPr>
      <w:rFonts w:ascii="Times New Roman" w:hAnsi="Times New Roman" w:eastAsia="Times New Roman" w:cs="Times New Roman"/>
      <w:b/>
      <w:bCs/>
      <w:color w:val="000000"/>
      <w:sz w:val="28"/>
      <w:szCs w:val="28"/>
      <w:lang w:eastAsia="ru-RU"/>
    </w:rPr>
  </w:style>
  <w:style w:type="character" w:styleId="Style13" w:customStyle="1">
    <w:name w:val="Текст Знак"/>
    <w:basedOn w:val="DefaultParagraphFont"/>
    <w:qFormat/>
    <w:rsid w:val="00690443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4" w:customStyle="1">
    <w:name w:val="Основной текст Знак"/>
    <w:basedOn w:val="DefaultParagraphFont"/>
    <w:qFormat/>
    <w:rsid w:val="00690443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690443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Style15" w:customStyle="1">
    <w:name w:val="Название Знак"/>
    <w:basedOn w:val="DefaultParagraphFont"/>
    <w:qFormat/>
    <w:rsid w:val="00690443"/>
    <w:rPr>
      <w:rFonts w:ascii="Times New Roman" w:hAnsi="Times New Roman" w:eastAsia="Times New Roman" w:cs="Times New Roman"/>
      <w:b/>
      <w:sz w:val="48"/>
      <w:szCs w:val="20"/>
      <w:lang w:eastAsia="ru-RU"/>
    </w:rPr>
  </w:style>
  <w:style w:type="character" w:styleId="FontStyle11" w:customStyle="1">
    <w:name w:val="Font Style11"/>
    <w:basedOn w:val="DefaultParagraphFont"/>
    <w:qFormat/>
    <w:rsid w:val="00690443"/>
    <w:rPr>
      <w:rFonts w:ascii="Times New Roman" w:hAnsi="Times New Roman" w:cs="Times New Roman"/>
      <w:sz w:val="26"/>
      <w:szCs w:val="26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b86f32"/>
    <w:rPr>
      <w:rFonts w:ascii="Tahoma" w:hAnsi="Tahoma" w:cs="Tahoma"/>
      <w:sz w:val="16"/>
      <w:szCs w:val="16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rsid w:val="00690443"/>
    <w:pPr>
      <w:spacing w:lineRule="auto" w:line="240" w:before="0" w:after="120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nhideWhenUsed/>
    <w:qFormat/>
    <w:rsid w:val="0069044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uiPriority w:val="99"/>
    <w:semiHidden/>
    <w:unhideWhenUsed/>
    <w:qFormat/>
    <w:rsid w:val="00690443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PlainText">
    <w:name w:val="Plain Text"/>
    <w:basedOn w:val="Normal"/>
    <w:qFormat/>
    <w:rsid w:val="00690443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qFormat/>
    <w:rsid w:val="00690443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ConsPlusNormal" w:customStyle="1">
    <w:name w:val="ConsPlusNormal"/>
    <w:qFormat/>
    <w:rsid w:val="00690443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cs="Arial" w:eastAsia="Calibri" w:eastAsiaTheme="minorHAnsi"/>
      <w:color w:val="auto"/>
      <w:kern w:val="0"/>
      <w:sz w:val="22"/>
      <w:szCs w:val="20"/>
      <w:lang w:eastAsia="ru-RU" w:val="ru-RU" w:bidi="ar-SA"/>
    </w:rPr>
  </w:style>
  <w:style w:type="paragraph" w:styleId="Style22">
    <w:name w:val="Title"/>
    <w:basedOn w:val="Normal"/>
    <w:qFormat/>
    <w:rsid w:val="00690443"/>
    <w:pPr>
      <w:spacing w:lineRule="auto" w:line="360" w:before="0" w:after="0"/>
      <w:jc w:val="center"/>
    </w:pPr>
    <w:rPr>
      <w:rFonts w:ascii="Times New Roman" w:hAnsi="Times New Roman" w:eastAsia="Times New Roman" w:cs="Times New Roman"/>
      <w:b/>
      <w:sz w:val="48"/>
      <w:szCs w:val="20"/>
      <w:lang w:eastAsia="ru-RU"/>
    </w:rPr>
  </w:style>
  <w:style w:type="paragraph" w:styleId="ConsPlusTitle" w:customStyle="1">
    <w:name w:val="ConsPlusTitle"/>
    <w:qFormat/>
    <w:rsid w:val="0069044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eastAsia="ru-RU" w:val="ru-RU" w:bidi="ar-SA"/>
    </w:rPr>
  </w:style>
  <w:style w:type="paragraph" w:styleId="ConsNormal" w:customStyle="1">
    <w:name w:val="ConsNormal"/>
    <w:qFormat/>
    <w:rsid w:val="00690443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3" w:customStyle="1">
    <w:name w:val="Style2"/>
    <w:basedOn w:val="Normal"/>
    <w:qFormat/>
    <w:rsid w:val="00690443"/>
    <w:pPr>
      <w:widowControl w:val="false"/>
      <w:spacing w:lineRule="exact" w:line="319" w:before="0" w:after="0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b86f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 w:customStyle="1">
    <w:name w:val="Содержимое таблицы"/>
    <w:basedOn w:val="Normal"/>
    <w:qFormat/>
    <w:pPr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0BB59-31A6-4E8D-8440-36B9A452A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Application>LibreOffice/6.4.4.2$Windows_X86_64 LibreOffice_project/3d775be2011f3886db32dfd395a6a6d1ca2630ff</Application>
  <Pages>14</Pages>
  <Words>2317</Words>
  <Characters>15734</Characters>
  <CharactersWithSpaces>18457</CharactersWithSpaces>
  <Paragraphs>503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2016-09-26T05:21:00Z</dcterms:created>
  <dc:creator>Соколова Елена Ивановна</dc:creator>
  <dc:description/>
  <dc:language>ru-RU</dc:language>
  <cp:lastModifiedBy/>
  <cp:lastPrinted>2022-12-02T07:37:00Z</cp:lastPrinted>
  <dcterms:modified xsi:type="dcterms:W3CDTF">2023-04-24T14:08:20Z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