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 w:eastAsia="Times New Roman" w:cs="Times New Roman"/>
          <w:color w:val="4D4E4C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4"/>
          <w:szCs w:val="24"/>
          <w:lang w:eastAsia="ru-RU"/>
        </w:rPr>
        <w:t>Приложение №1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администрации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Верхнехавского муниципального района 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Воронежской области   №        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.12.2024 г.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Georgia" w:hAnsi="Georgia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Georgia" w:hAnsi="Georgia"/>
          <w:color w:val="000000"/>
          <w:sz w:val="20"/>
          <w:szCs w:val="20"/>
          <w:lang w:eastAsia="ru-RU"/>
        </w:rPr>
      </w:r>
    </w:p>
    <w:p>
      <w:pPr>
        <w:pStyle w:val="ConsPlusNormal"/>
        <w:widowControl/>
        <w:ind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Муниципальная программа Верхнехавского муниципального района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Воронежской области "Содействие занятости населения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"</w:t>
      </w:r>
    </w:p>
    <w:p>
      <w:pPr>
        <w:pStyle w:val="Normal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П А С П О Р Т</w:t>
      </w:r>
    </w:p>
    <w:tbl>
      <w:tblPr>
        <w:tblW w:w="904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49"/>
        <w:gridCol w:w="5790"/>
      </w:tblGrid>
      <w:tr>
        <w:trPr>
          <w:trHeight w:val="898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88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141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области, центр занятости населения Верхнехавского района, финансовый отдел администрации</w:t>
            </w:r>
          </w:p>
        </w:tc>
      </w:tr>
      <w:tr>
        <w:trPr>
          <w:trHeight w:val="743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89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время.</w:t>
            </w:r>
          </w:p>
        </w:tc>
      </w:tr>
      <w:tr>
        <w:trPr>
          <w:trHeight w:val="290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 оказание   материальной и социальной 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  вовлечение подростков и молодежи в социально значимую и полезную трудовую деятельность;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-содействие в профессиональном самоопределении подросткам и молодежи в возрасте от 14 до 18 лет;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-профилактика подростковой безнадзорности и предупреждение правонарушений    среди несовершеннолетних граждан.</w:t>
            </w:r>
          </w:p>
        </w:tc>
      </w:tr>
      <w:tr>
        <w:trPr>
          <w:trHeight w:val="60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744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Программа реализуется в один этап с 2016 по 2027 годы</w:t>
            </w:r>
          </w:p>
        </w:tc>
      </w:tr>
      <w:tr>
        <w:trPr>
          <w:trHeight w:val="169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 финансирования муниципальной программы за счет средств областного бюджета 845,0 тыс. руб., в том числе по годам реализации: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2016 год- 55,8 тыс. 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2017 год- 67,5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2018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2019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2020 год- 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2021 год-  51,6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2022 год- 0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2023 год- 0 тыс.руб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2024 год- 74,15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2025 год- 146,10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2026 год- 146,10 тыс.руб.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2027 год-146,10 тыс.руб.</w:t>
            </w:r>
          </w:p>
        </w:tc>
      </w:tr>
      <w:tr>
        <w:trPr>
          <w:trHeight w:val="115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к 2027 году составит до 676 человека, в том числе из семей социального риска не менее 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 человек</w:t>
            </w:r>
            <w:bookmarkStart w:id="0" w:name="_GoBack"/>
            <w:bookmarkEnd w:id="0"/>
          </w:p>
        </w:tc>
      </w:tr>
    </w:tbl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1.Общая характеристика сферы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Верхнехавском муниципальном районе сложилась определенная система работы    по организации временного трудоустройства подростков и молодежи. Этому предшествовала плодотворная работа отдела образования, физической культуры и спорта администрации Верхнехавского муниципального района и ГКУ ВО ЦЗН Верхнехавского муниципального района.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Недостаточный материальный уровень доходов большей части населения изменил жизненную позицию   подростков и молодежи. Многие из них стремятся заработать деньги, помочь своей семье.  Особенно уязвима та категория молодых людей, которые    воспитываются в малообеспеченных семьях и семьях социального риска.   Предусматриваемые   денежные средства в рамках реализации мероприятий по временному трудоустройству были направлены на выплату заработной платы    подросткам и молодежи за фактически отработанное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целях профилактики безнадзорности и правонарушений   в молодежной среде, повышения  у подрастающего поколения  мотивации  к труду, создания   условий  для формирования активной жизненной позиции молодежи, а также снижения  уровня   социальной напряженности   среди  молодежи,  администрация   Верхнехавского муниципального района совместно с ГКУ ВО Центр занятости населения Верхнехавского района ежегодно   обеспечивают  предоставление гарантий занятости, в том числе несовершеннолетним  гражданам.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Необходимость использования комплексного подхода к решению    задач в сфере организации временного трудоустройства подростков и молодежи обуславливает решение   проблемы программно-целевым методом.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Принятие муниципальной программы «Содействие занятости населения в Верхнехавском муниципальном районе (далее-Программа) позволит, прежде всего: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-обеспечить временную внеурочную занятость подростков и молодежи;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-привлечь   к трудовой деятельности подростков, состоящих на учете в комиссии по делам несовершеннолетних и защите их прав;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-оказать материальную поддержку    подросткам и молодежи, из семей социального риска.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молодежи - важнейшая социальная задача. Первый опыт работы помогает молодому человеку осознать себя нужным и полезным членом общества, подготовиться к самостоятельной жизни.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призвана стимулировать инициативность подростков, стремление попробовать свои силы в различных видах деятельности.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Трудоустройство несовершеннолетних граждан - одно из приоритетных направлений реализации молодежной политики в Верхнехавском муниципальном районе в рамках содействия занятости и организации мероприятий по профилактике правонарушений.                          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Деятельность по организации трудоустройства данной категории граждан осуществляется совместно с ГКУ ВО Центр занятости населения Верхнехавского района, отделом образования, физической культуры и спорта администрации Верхнехавского муниципального района, образовательными учреждениями Верхнехавского муниципального района.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программным мероприятиям, с 2016 года по 2027 год на организацию мероприятий   в рамках временного трудоустройства подростков и молодежи из областного бюджета будут выделены денежные средства   в сумме                               845,0 тыс. рублей, в том числе по годам: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2016 год- 55,8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 год- 67,5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2018 год- 78,8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2019 год- 78,8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2020 год-  0 тыс. 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2021 год — 51,6 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2022 год- 0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2023 год- 0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024 год- 74,15 тыс.рублей 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2025 год- 146,10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2026 год- 146,10 тыс.рублей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2027 год-146,10 тыс.рублей.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b/>
          <w:bCs/>
          <w:i/>
          <w:i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Некоторые итоги трудоустройства несовершеннолетних граждан в каникулярные за 2013 -2015 годы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Отдел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в течение 2013-2015 годов осуществлял работу по организации временных рабочих мест несовершеннолетних граждан, не только в каникулярное, но и в свободное от учебы время, что способствовало обеспечению временной занятости подростков и молодежи, прежде всего, из семей социального риска.  Работы, организуемые для несовершеннолетних граждан, имели социально-полезную направленность, а именно: благоустройство территории школ, пришкольных территорий, парков, скверов.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 каждым годом отмечается рост активности подростков, желающих принимать   участие во временных работах    в каникулярные периоды и в свободное от учебы время. Групповые формы организации трудовой деятельности позволили    охватить   максимальное количество подростков, в том числе   находящихся в сложной жизненной ситуации.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       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Информация   о привлечении дополнительных средств из областного бюджета на организацию временной трудовой занятости подростков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8913" w:type="dxa"/>
        <w:jc w:val="left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13"/>
        <w:gridCol w:w="1620"/>
        <w:gridCol w:w="2307"/>
        <w:gridCol w:w="1566"/>
        <w:gridCol w:w="2207"/>
      </w:tblGrid>
      <w:tr>
        <w:trPr/>
        <w:tc>
          <w:tcPr>
            <w:tcW w:w="1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Месяц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трудоуст-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роенных подростков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23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занятости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несовершен-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нолетних</w:t>
            </w:r>
          </w:p>
        </w:tc>
        <w:tc>
          <w:tcPr>
            <w:tcW w:w="1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Общее количество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денежных средств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Статьи расходов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 2014 г.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Трудовые бригады</w:t>
            </w:r>
          </w:p>
        </w:tc>
        <w:tc>
          <w:tcPr>
            <w:tcW w:w="156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14522</w:t>
            </w:r>
          </w:p>
        </w:tc>
        <w:tc>
          <w:tcPr>
            <w:tcW w:w="220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/>
        <w:tc>
          <w:tcPr>
            <w:tcW w:w="121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 г.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7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</w:t>
            </w:r>
          </w:p>
        </w:tc>
        <w:tc>
          <w:tcPr>
            <w:tcW w:w="1566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26991</w:t>
            </w:r>
          </w:p>
        </w:tc>
        <w:tc>
          <w:tcPr>
            <w:tcW w:w="2207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  <w:tr>
        <w:trPr>
          <w:trHeight w:val="2790" w:hRule="atLeast"/>
        </w:trPr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Лагеря труда и отдыха, дневного пребывания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/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12412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Инвентарь,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денежное вознаграждение подросткам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Также большое значение имеет   данная Программа по предоставлению   возможности для подростков и молодежи трудоустроиться индивидуально.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Ежегодно в целях   профилактики   безнадзорности и правонарушений активная социальная работа проводится отделом образования, физической культуры и спорта администрации Верхнехавского муниципального района совместно с ГКУ ВО Центр занятости населения Верхнехавского района с детьми и подростками на площадках по месту жительства, в лагерях дневного пребывания.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Анализ реализации мероприятий по трудоустройству подростков и молодежи за предыдущие периоды показывает, что   с каждым годом растет количество подростков, желающих   работать в каникулярное и свободное от учебы время.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3. Приоритеты муниципальной политики в сфере реализации муниципальной программы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shd w:val="clear" w:color="auto" w:fill="FFFFFF"/>
        <w:spacing w:lineRule="atLeast" w:line="273" w:before="0" w:after="0"/>
        <w:ind w:firstLine="708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tbl>
      <w:tblPr>
        <w:tblW w:w="5000" w:type="pct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2590"/>
        <w:gridCol w:w="1374"/>
        <w:gridCol w:w="1178"/>
        <w:gridCol w:w="1098"/>
      </w:tblGrid>
      <w:tr>
        <w:trPr/>
        <w:tc>
          <w:tcPr>
            <w:tcW w:w="3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2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1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0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Источники финанси-рования</w:t>
            </w:r>
          </w:p>
        </w:tc>
      </w:tr>
      <w:tr>
        <w:trPr/>
        <w:tc>
          <w:tcPr>
            <w:tcW w:w="9354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    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1.Организационная работа по трудоустройству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1.1. Организационная работа   с образова-тельными учреждениями района по выявлению   желающих   трудоустроится в каникулярный период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заявок, составление  списков, определение  объемов труда с учетом согласования с работодателями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Март-май  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1.2.Проведение мероприятий  профориентационной направленности</w:t>
            </w:r>
          </w:p>
        </w:tc>
        <w:tc>
          <w:tcPr>
            <w:tcW w:w="2590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Создание банка данных рабочих мест   для  учащейся молодежи</w:t>
            </w:r>
          </w:p>
        </w:tc>
        <w:tc>
          <w:tcPr>
            <w:tcW w:w="1374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ЦЗН, образова-тельные учреждения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8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Апрель-май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4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Без финансирования</w:t>
            </w:r>
          </w:p>
        </w:tc>
      </w:tr>
      <w:tr>
        <w:trPr/>
        <w:tc>
          <w:tcPr>
            <w:tcW w:w="93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2.Организация и проведение временного трудоустройства</w:t>
            </w:r>
          </w:p>
        </w:tc>
      </w:tr>
      <w:tr>
        <w:trPr/>
        <w:tc>
          <w:tcPr>
            <w:tcW w:w="31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2.1.Заключение договоров с работодателями.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259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Привлечение  работодателей   к временному трудоустройству молодежи</w:t>
            </w:r>
          </w:p>
        </w:tc>
        <w:tc>
          <w:tcPr>
            <w:tcW w:w="137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До 01 июня  ежегодно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2.2. В соответствии с заявками, направление   учащихся и студентов  в  учреждения  и  предприятия  работодателей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Организация  трудовой деятельности  в соответствии с объемами  и видами работ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 ,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работодатели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Июнь-август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2.3.Подготовка  пакета документов для оплаты  труда подросткам и молодежи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Оплата  труда    подросткам и молодежи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учреждения,ГКУ ВО ЦЗН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Подготовка  пакета документов для оплаты  труда подросткам и молодежи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2.4. Организация контроля  по проведению   занятости несовершеннолетних   в каникулярные периоды и в свободное от учебы время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Контроль за   количеством   трудоустроенных    молодых граждан в     каникулярные периоды и в свободное от учебы время</w:t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Июнь-ноябрь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  <w:tr>
        <w:trPr/>
        <w:tc>
          <w:tcPr>
            <w:tcW w:w="311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2.6. Подведение итогов  по организации   трудовой занятости подростков  и молодежи в каникулярные периоды и в сводное от учебы  время.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Составление аналитической информации- отчета о реализации мероприятий.</w:t>
            </w:r>
          </w:p>
        </w:tc>
        <w:tc>
          <w:tcPr>
            <w:tcW w:w="2590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1374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Отдел образования, физической культуры и спорта , ГКУ ВО ЦЗН</w:t>
            </w:r>
          </w:p>
        </w:tc>
        <w:tc>
          <w:tcPr>
            <w:tcW w:w="117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098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tLeast" w:line="273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b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>4. Обоснование выделения подпрограмм и обобщенная характеристика основных мероприятий.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связи с тем, что предусмотренные программой мероприятия имеют одну цель- вовлечение подростков и молодежи в трудовую деятельность-, выделение подпрограмм не предусмотрено.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5. Ресурсное обеспечение 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Особенности трудоустройства лиц   в возрасте до 18 лет регулируются    главой 42 Трудового кодекса Российской Федерации (далее- ТК РФ).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Выполнение подростками работ, которые не влияют на их здоровье и развитие, а также не препятствуют получению образования, помогает   подросткам    получить навыки и опыт.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ст.63 ТК РФ «Возраст, с которого допускается    заключение трудового договора» заключение трудового договора возможно с лицами, достигшими возраста 16 лет. С согласия одного из родителей (попечителя) и органа опеки и попечительства трудовой договор может быть заключен с учащимися, достигшими   возраста    14 лет, для выполнения в свободное от учебы время легкого труда, не причиняющего вреда их здоровью и не нарушающего процесса обучения.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 соответствии со ст. 271 «Оплата труда работников в возрасте до 18 лет при сокращенной продолжительности ежедневной работы» ТК РФ при повременной оплате труда заработная плата работникам в возрасте до 18 лет выплачивается с учетом сокращенной продолжительности работы.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Оплата труда работников   в возрасте до 18 лет, обучающихся в общеобразовательных учреждениях, образовательных учреждениях начального, среднего и высшего профессионального образования и работающих в свободное от учебы время, производится пропорционально отработанному времени или в зависимости от выработки.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 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Планируемая общая сумма денежных средств из областного бюджета, в рамках реализации Программы на 2016-2027 годы, составит: 845,0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ru-RU"/>
        </w:rPr>
        <w:t>тысяч рублей.</w:t>
      </w:r>
    </w:p>
    <w:p>
      <w:pPr>
        <w:pStyle w:val="Normal"/>
        <w:shd w:val="clear" w:color="auto" w:fill="FFFFFF"/>
        <w:spacing w:lineRule="atLeast" w:line="273" w:before="0" w:after="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6.Оценка эффективности реализации муниципальной Программы</w:t>
      </w:r>
    </w:p>
    <w:p>
      <w:pPr>
        <w:pStyle w:val="Normal"/>
        <w:shd w:val="clear" w:color="auto" w:fill="FFFFFF"/>
        <w:spacing w:lineRule="atLeast" w:line="273" w:before="0" w:after="0"/>
        <w:jc w:val="center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 результате реализации Программы будут достигнуты следующие результаты: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участвующих в мероприятиях, в рамках организации временного трудоустройства в каникулярные периоды и в свободное от учебы время    в общем количестве учащейся молодежи в возрасте до 20 лет – до 8 %;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-увеличение доли молодых людей, находящихся в сложной жизненной ситуации, в том числе из семей социального риска, вовлеченных в программные мероприятия в целях профилактики асоциального поведения, правонарушений и безнадзорности в молодежной среде - до 70%;</w:t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ind w:firstLine="390"/>
        <w:jc w:val="both"/>
        <w:rPr>
          <w:rFonts w:ascii="Times New Roman" w:hAnsi="Times New Roman" w:eastAsia="Times New Roman" w:cs="Times New Roman"/>
          <w:color w:val="4D4E4C"/>
          <w:sz w:val="28"/>
          <w:szCs w:val="28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 w:eastAsia="Times New Roman" w:cs="Times New Roman"/>
          <w:color w:val="4D4E4C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4D4E4C"/>
          <w:sz w:val="24"/>
          <w:szCs w:val="24"/>
          <w:lang w:eastAsia="ru-RU"/>
        </w:rPr>
        <w:t>Приложение №1</w:t>
      </w:r>
    </w:p>
    <w:p>
      <w:pPr>
        <w:pStyle w:val="Normal"/>
        <w:shd w:val="clear" w:color="auto" w:fill="FFFFFF"/>
        <w:spacing w:lineRule="atLeast" w:line="273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Муниципальная программа Верхнехавского муниципального района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b/>
          <w:bCs/>
          <w:color w:val="000000"/>
          <w:sz w:val="24"/>
          <w:szCs w:val="24"/>
        </w:rPr>
        <w:t>Воронежской области "Содействие занятости населения</w:t>
      </w:r>
      <w:r>
        <w:rPr>
          <w:rFonts w:eastAsia="Times New Roman" w:ascii="Times New Roman" w:hAnsi="Times New Roman"/>
          <w:b/>
          <w:color w:val="000000"/>
          <w:sz w:val="24"/>
          <w:szCs w:val="24"/>
        </w:rPr>
        <w:t>"</w:t>
      </w:r>
    </w:p>
    <w:p>
      <w:pPr>
        <w:pStyle w:val="Normal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eastAsia="Times New Roman" w:ascii="Times New Roman" w:hAnsi="Times New Roman"/>
          <w:b/>
          <w:color w:val="000000"/>
          <w:sz w:val="24"/>
          <w:szCs w:val="24"/>
        </w:rPr>
        <w:t>П А С П О Р Т</w:t>
      </w:r>
    </w:p>
    <w:tbl>
      <w:tblPr>
        <w:tblW w:w="904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249"/>
        <w:gridCol w:w="5790"/>
      </w:tblGrid>
      <w:tr>
        <w:trPr>
          <w:trHeight w:val="898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88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141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Отдел по экономике и управлению муниципальным имуществом Верхнехавского муниципального района Воронежской области, центр занятости населения Верхнехавского района, финансовый отдел администрации</w:t>
            </w:r>
          </w:p>
        </w:tc>
      </w:tr>
      <w:tr>
        <w:trPr>
          <w:trHeight w:val="743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>
          <w:trHeight w:val="897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 w:eastAsia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содействие временной занятости подростков и молодежи   в каникулярные периоды и в свободное от учебы время.</w:t>
            </w:r>
          </w:p>
        </w:tc>
      </w:tr>
      <w:tr>
        <w:trPr>
          <w:trHeight w:val="290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 оказание   материальной и социальной поддержки подросткам и молодежи, находящимся в сложной жизненной ситуации;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  вовлечение подростков и молодежи в социально значимую и полезную трудовую деятельность;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-содействие в профессиональном самоопределении подросткам и молодежи в возрасте от 14 до 18 лет;</w:t>
            </w:r>
          </w:p>
          <w:p>
            <w:pPr>
              <w:pStyle w:val="Normal"/>
              <w:spacing w:lineRule="atLeast" w:line="273" w:before="0" w:after="0"/>
              <w:rPr>
                <w:rFonts w:ascii="Times New Roman" w:hAnsi="Times New Roman" w:eastAsia="Times New Roman" w:cs="Times New Roman"/>
                <w:color w:themeColor="text1"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-профилактика подростковой безнадзорности и предупреждение правонарушений    среди несовершеннолетних граждан.</w:t>
            </w:r>
          </w:p>
        </w:tc>
      </w:tr>
      <w:tr>
        <w:trPr>
          <w:trHeight w:val="602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color w:themeColor="text1"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молодежи, чел.</w:t>
            </w:r>
          </w:p>
        </w:tc>
      </w:tr>
      <w:tr>
        <w:trPr>
          <w:trHeight w:val="744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Программа реализуется в один этап с 2016 по 2027 годы</w:t>
            </w:r>
          </w:p>
        </w:tc>
      </w:tr>
      <w:tr>
        <w:trPr>
          <w:trHeight w:val="169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Объем финансирования муниципальной программы за счет средств областного бюджета 845,0 тыс. руб., в том числе по годам реализации: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2016 год- 55,8 тыс. 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2017 год- 67,5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2018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2019 год- 78,8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2020 год- 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2021 год-  51,6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2022 год- 0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2023 год- 0 тыс.руб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2024 год- 74,15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2025 год- 146,10 тыс.руб.</w:t>
            </w:r>
          </w:p>
          <w:p>
            <w:pPr>
              <w:pStyle w:val="Normal"/>
              <w:spacing w:lineRule="atLeast" w:line="100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2026 год- 146,10 тыс.руб.</w:t>
            </w:r>
          </w:p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2027 год-146,10 тыс.руб.</w:t>
            </w:r>
          </w:p>
        </w:tc>
      </w:tr>
      <w:tr>
        <w:trPr>
          <w:trHeight w:val="1151" w:hRule="atLeast"/>
        </w:trPr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lineRule="atLeast" w:line="100" w:before="0" w:after="20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</w:tcPr>
          <w:p>
            <w:pPr>
              <w:pStyle w:val="Normal"/>
              <w:spacing w:lineRule="atLeast" w:line="100" w:before="0" w:after="20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themeColor="text1" w:val="000000"/>
                <w:sz w:val="24"/>
                <w:szCs w:val="24"/>
                <w:lang w:eastAsia="ru-RU"/>
              </w:rPr>
              <w:t>количество вовлеченных во временную трудовую деятельность подростков и молодежи к 2027 году составит до 676 человека, в том числе из семей социального риска не менее 4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0 человек</w:t>
            </w:r>
            <w:bookmarkStart w:id="1" w:name="_GoBack_Копия_1"/>
            <w:bookmarkEnd w:id="1"/>
          </w:p>
        </w:tc>
      </w:tr>
    </w:tbl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sectPr>
          <w:type w:val="nextPage"/>
          <w:pgSz w:w="11906" w:h="16838"/>
          <w:pgMar w:left="1701" w:right="851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hd w:val="clear" w:color="auto" w:fill="FFFFFF"/>
        <w:spacing w:lineRule="atLeast" w:line="273" w:before="0" w:after="0"/>
        <w:rPr>
          <w:rFonts w:ascii="Georgia" w:hAnsi="Georgia" w:eastAsia="Times New Roman" w:cs="Times New Roman"/>
          <w:color w:val="4D4E4C"/>
          <w:sz w:val="20"/>
          <w:szCs w:val="20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  <w:tab/>
        <w:tab/>
        <w:tab/>
        <w:tab/>
      </w:r>
    </w:p>
    <w:tbl>
      <w:tblPr>
        <w:tblW w:w="14549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0"/>
        <w:gridCol w:w="2745"/>
        <w:gridCol w:w="1305"/>
        <w:gridCol w:w="795"/>
        <w:gridCol w:w="840"/>
        <w:gridCol w:w="855"/>
        <w:gridCol w:w="960"/>
        <w:gridCol w:w="855"/>
        <w:gridCol w:w="735"/>
        <w:gridCol w:w="855"/>
        <w:gridCol w:w="735"/>
        <w:gridCol w:w="795"/>
        <w:gridCol w:w="615"/>
        <w:gridCol w:w="570"/>
        <w:gridCol w:w="929"/>
      </w:tblGrid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Приложение 2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454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Сведения о показателях (индикаторах) муниципальной программы  Верхнехавского муниципального района Воронежской области  "Содействие занятости населения"</w:t>
            </w:r>
          </w:p>
        </w:tc>
      </w:tr>
      <w:tr>
        <w:trPr/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Наименование показателя (индикатора)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Ед. измерения</w:t>
            </w:r>
          </w:p>
        </w:tc>
        <w:tc>
          <w:tcPr>
            <w:tcW w:w="95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Значения показателя (индикатора) по годам реализации муниципальной программы</w:t>
            </w:r>
          </w:p>
        </w:tc>
      </w:tr>
      <w:tr>
        <w:trPr/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2016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2017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2018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2019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2022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2023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2024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2026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2027</w:t>
            </w:r>
          </w:p>
        </w:tc>
      </w:tr>
      <w:tr>
        <w:trPr/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3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4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8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9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11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12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13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15</w:t>
            </w:r>
          </w:p>
        </w:tc>
      </w:tr>
      <w:tr>
        <w:trPr/>
        <w:tc>
          <w:tcPr>
            <w:tcW w:w="1454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Муниципальная программа Верхнехавского муниципального района Воронежской области " Содействие занятости населения "</w:t>
            </w:r>
          </w:p>
        </w:tc>
      </w:tr>
      <w:tr>
        <w:trPr/>
        <w:tc>
          <w:tcPr>
            <w:tcW w:w="1454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Основное мероприятие 1. Реализация мероприятий активной политики занятости населения</w:t>
            </w:r>
          </w:p>
        </w:tc>
      </w:tr>
      <w:tr>
        <w:trPr/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количество вовлеченных во временную трудовую деятельность подростков и молодежи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чел.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</w:t>
            </w:r>
          </w:p>
        </w:tc>
        <w:tc>
          <w:tcPr>
            <w:tcW w:w="8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40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74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30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48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93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116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45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50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50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50</w:t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289"/>
        <w:gridCol w:w="2100"/>
        <w:gridCol w:w="855"/>
        <w:gridCol w:w="960"/>
        <w:gridCol w:w="900"/>
        <w:gridCol w:w="855"/>
        <w:gridCol w:w="1080"/>
        <w:gridCol w:w="1020"/>
        <w:gridCol w:w="910"/>
        <w:gridCol w:w="766"/>
        <w:gridCol w:w="767"/>
        <w:gridCol w:w="767"/>
        <w:gridCol w:w="767"/>
        <w:gridCol w:w="767"/>
      </w:tblGrid>
      <w:tr>
        <w:trPr>
          <w:trHeight w:val="345" w:hRule="atLeast"/>
        </w:trPr>
        <w:tc>
          <w:tcPr>
            <w:tcW w:w="766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300" w:type="dxa"/>
            <w:gridSpan w:val="3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Приложение 3</w:t>
            </w:r>
          </w:p>
        </w:tc>
        <w:tc>
          <w:tcPr>
            <w:tcW w:w="76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6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1456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Расходы местного бюджета на реализацию муниципальной программы Верхнехавского муниципального района  Воронежской области Муниципальная программа Верхнехавского муниципального района Воронежской области  "Содействие занятости населения"                               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Статус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>
          <w:trHeight w:val="684" w:hRule="atLeast"/>
        </w:trPr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2017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2018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2021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2022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2023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2024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2025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2026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2027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3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4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8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9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11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12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13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15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МУНИЦИПАЛЬНАЯ ПРОГРАММА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 </w:t>
            </w:r>
            <w:r>
              <w:rPr/>
              <w:t>"Содействие занятости населения"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всего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в том числе по ГРБС: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исполнитель 1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Основное мероприятие 1.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Реализация мероприятий активной политики занятости населения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всего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в том числе по ГРБС: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</w:tr>
      <w:tr>
        <w:trPr/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ответственный исполнитель :Отдел образования, физической культуры и спорта администрации  Верхнехавского муниципального района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7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tbl>
      <w:tblPr>
        <w:tblW w:w="14489" w:type="dxa"/>
        <w:jc w:val="righ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60"/>
        <w:gridCol w:w="975"/>
        <w:gridCol w:w="975"/>
        <w:gridCol w:w="975"/>
        <w:gridCol w:w="975"/>
        <w:gridCol w:w="960"/>
        <w:gridCol w:w="975"/>
        <w:gridCol w:w="975"/>
        <w:gridCol w:w="975"/>
        <w:gridCol w:w="960"/>
        <w:gridCol w:w="975"/>
        <w:gridCol w:w="975"/>
        <w:gridCol w:w="975"/>
        <w:gridCol w:w="959"/>
      </w:tblGrid>
      <w:tr>
        <w:trPr/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1950" w:type="dxa"/>
            <w:gridSpan w:val="2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Приложение 5</w:t>
            </w:r>
          </w:p>
        </w:tc>
        <w:tc>
          <w:tcPr>
            <w:tcW w:w="9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59" w:type="dxa"/>
            <w:tcBorders/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1448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 Воронежской области  "Содействие занятости населения"</w:t>
            </w:r>
          </w:p>
        </w:tc>
      </w:tr>
      <w:tr>
        <w:trPr/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Статус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Наименование муниципальной программы, подпрограммы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Источники ресурсного обеспечения</w:t>
            </w:r>
          </w:p>
        </w:tc>
        <w:tc>
          <w:tcPr>
            <w:tcW w:w="11654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2019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2026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2027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2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3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4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8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9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12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13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15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МУНИЦИПАЛЬНАЯ ПРОГРАММА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  </w:t>
            </w:r>
            <w:r>
              <w:rPr/>
              <w:t>"Содействие занятости населения"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всего, в том числе: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55,80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67,50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51,60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74,15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областной бюджет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55,80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67,50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51,60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74,15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местный бюджет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юридические лица 1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физические лица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ОСНОВНОЕ МЕРОПРИЯТИЕ 1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Реализация мероприятий активной политики занятости населения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всего, в том числе: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55,80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67,50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51,60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74,15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федеральный бюджет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областной бюджет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55,80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67,50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78,80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51,60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74,15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146,10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местный бюджет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0,00</w:t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 xml:space="preserve"> </w:t>
            </w:r>
            <w:r>
              <w:rPr/>
              <w:t xml:space="preserve">внебюджетные фонды                       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юридические лица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  <w:tr>
        <w:trPr/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физические лица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  <w:t>-</w:t>
            </w:r>
          </w:p>
        </w:tc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shd w:val="clear" w:color="auto" w:fill="FFFFFF"/>
              <w:spacing w:lineRule="atLeast" w:line="273" w:before="0" w:after="0"/>
              <w:rPr/>
            </w:pPr>
            <w:r>
              <w:rPr/>
            </w:r>
          </w:p>
        </w:tc>
      </w:tr>
    </w:tbl>
    <w:p>
      <w:pPr>
        <w:pStyle w:val="Normal"/>
        <w:shd w:val="clear" w:color="auto" w:fill="FFFFFF"/>
        <w:spacing w:lineRule="atLeast" w:line="273" w:before="0" w:after="0"/>
        <w:rPr/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Georgi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90443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3">
    <w:name w:val="Heading 3"/>
    <w:basedOn w:val="Normal"/>
    <w:link w:val="3"/>
    <w:uiPriority w:val="9"/>
    <w:qFormat/>
    <w:rsid w:val="0069044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4"/>
    <w:qFormat/>
    <w:rsid w:val="00690443"/>
    <w:pPr>
      <w:keepNext w:val="true"/>
      <w:spacing w:lineRule="auto" w:line="240" w:before="240" w:after="60"/>
      <w:outlineLvl w:val="3"/>
    </w:pPr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-converted-space" w:customStyle="1">
    <w:name w:val="apple-converted-space"/>
    <w:basedOn w:val="DefaultParagraphFont"/>
    <w:qFormat/>
    <w:rsid w:val="00690443"/>
    <w:rPr/>
  </w:style>
  <w:style w:type="character" w:styleId="Emphasis">
    <w:name w:val="Emphasis"/>
    <w:basedOn w:val="DefaultParagraphFont"/>
    <w:uiPriority w:val="20"/>
    <w:qFormat/>
    <w:rsid w:val="00690443"/>
    <w:rPr>
      <w:i/>
      <w:iCs/>
    </w:rPr>
  </w:style>
  <w:style w:type="character" w:styleId="1" w:customStyle="1">
    <w:name w:val="Заголовок 1 Знак"/>
    <w:basedOn w:val="DefaultParagraphFont"/>
    <w:uiPriority w:val="9"/>
    <w:qFormat/>
    <w:rsid w:val="00690443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3" w:customStyle="1">
    <w:name w:val="Заголовок 3 Знак"/>
    <w:basedOn w:val="DefaultParagraphFont"/>
    <w:uiPriority w:val="9"/>
    <w:qFormat/>
    <w:rsid w:val="00690443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Hyperlink" w:customStyle="1">
    <w:name w:val="Hyperlink"/>
    <w:basedOn w:val="DefaultParagraphFont"/>
    <w:uiPriority w:val="99"/>
    <w:semiHidden/>
    <w:unhideWhenUsed/>
    <w:rsid w:val="00690443"/>
    <w:rPr>
      <w:color w:val="0000FF"/>
      <w:u w:val="single"/>
    </w:rPr>
  </w:style>
  <w:style w:type="character" w:styleId="HTML" w:customStyle="1">
    <w:name w:val="Стандартный HTML Знак"/>
    <w:basedOn w:val="DefaultParagraphFont"/>
    <w:uiPriority w:val="99"/>
    <w:semiHidden/>
    <w:qFormat/>
    <w:rsid w:val="0069044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4" w:customStyle="1">
    <w:name w:val="Заголовок 4 Знак"/>
    <w:basedOn w:val="DefaultParagraphFont"/>
    <w:qFormat/>
    <w:rsid w:val="00690443"/>
    <w:rPr>
      <w:rFonts w:ascii="Times New Roman" w:hAnsi="Times New Roman" w:eastAsia="Times New Roman" w:cs="Times New Roman"/>
      <w:b/>
      <w:bCs/>
      <w:color w:val="000000"/>
      <w:sz w:val="28"/>
      <w:szCs w:val="28"/>
      <w:lang w:eastAsia="ru-RU"/>
    </w:rPr>
  </w:style>
  <w:style w:type="character" w:styleId="Style11" w:customStyle="1">
    <w:name w:val="Текст Знак"/>
    <w:basedOn w:val="DefaultParagraphFont"/>
    <w:qFormat/>
    <w:rsid w:val="00690443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Style12" w:customStyle="1">
    <w:name w:val="Основной текст Знак"/>
    <w:basedOn w:val="DefaultParagraphFont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2" w:customStyle="1">
    <w:name w:val="Основной текст с отступом 2 Знак"/>
    <w:basedOn w:val="DefaultParagraphFont"/>
    <w:qFormat/>
    <w:rsid w:val="00690443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Style13" w:customStyle="1">
    <w:name w:val="Название Знак"/>
    <w:basedOn w:val="DefaultParagraphFont"/>
    <w:qFormat/>
    <w:rsid w:val="00690443"/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character" w:styleId="FontStyle11" w:customStyle="1">
    <w:name w:val="Font Style11"/>
    <w:basedOn w:val="DefaultParagraphFont"/>
    <w:qFormat/>
    <w:rsid w:val="00690443"/>
    <w:rPr>
      <w:rFonts w:ascii="Times New Roman" w:hAnsi="Times New Roman" w:cs="Times New Roman"/>
      <w:sz w:val="26"/>
      <w:szCs w:val="26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b86f32"/>
    <w:rPr>
      <w:rFonts w:ascii="Tahoma" w:hAnsi="Tahoma" w:cs="Tahoma"/>
      <w:sz w:val="16"/>
      <w:szCs w:val="16"/>
    </w:rPr>
  </w:style>
  <w:style w:type="paragraph" w:styleId="Style15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90443"/>
    <w:pPr>
      <w:spacing w:lineRule="auto" w:line="240" w:before="0" w:after="12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nhideWhenUsed/>
    <w:qFormat/>
    <w:rsid w:val="0069044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uiPriority w:val="99"/>
    <w:semiHidden/>
    <w:unhideWhenUsed/>
    <w:qFormat/>
    <w:rsid w:val="0069044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PlainText">
    <w:name w:val="Plain Text"/>
    <w:basedOn w:val="Normal"/>
    <w:qFormat/>
    <w:rsid w:val="0069044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qFormat/>
    <w:rsid w:val="00690443"/>
    <w:pPr>
      <w:spacing w:lineRule="auto" w:line="480" w:before="0" w:after="120"/>
      <w:ind w:left="283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ConsPlusNormal" w:customStyle="1">
    <w:name w:val="ConsPlusNormal"/>
    <w:qFormat/>
    <w:rsid w:val="00690443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cs="Arial" w:eastAsia="Calibri" w:eastAsiaTheme="minorHAnsi"/>
      <w:color w:val="auto"/>
      <w:kern w:val="0"/>
      <w:sz w:val="22"/>
      <w:szCs w:val="20"/>
      <w:lang w:eastAsia="ru-RU" w:val="ru-RU" w:bidi="ar-SA"/>
    </w:rPr>
  </w:style>
  <w:style w:type="paragraph" w:styleId="Title">
    <w:name w:val="Title"/>
    <w:basedOn w:val="Normal"/>
    <w:qFormat/>
    <w:rsid w:val="00690443"/>
    <w:pPr>
      <w:spacing w:lineRule="auto" w:line="360" w:before="0" w:after="0"/>
      <w:jc w:val="center"/>
    </w:pPr>
    <w:rPr>
      <w:rFonts w:ascii="Times New Roman" w:hAnsi="Times New Roman" w:eastAsia="Times New Roman" w:cs="Times New Roman"/>
      <w:b/>
      <w:sz w:val="48"/>
      <w:szCs w:val="20"/>
      <w:lang w:eastAsia="ru-RU"/>
    </w:rPr>
  </w:style>
  <w:style w:type="paragraph" w:styleId="ConsPlusTitle" w:customStyle="1">
    <w:name w:val="ConsPlusTitle"/>
    <w:qFormat/>
    <w:rsid w:val="0069044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eastAsia="ru-RU" w:val="ru-RU" w:bidi="ar-SA"/>
    </w:rPr>
  </w:style>
  <w:style w:type="paragraph" w:styleId="ConsNormal" w:customStyle="1">
    <w:name w:val="ConsNormal"/>
    <w:qFormat/>
    <w:rsid w:val="00690443"/>
    <w:pPr>
      <w:widowControl w:val="false"/>
      <w:suppressAutoHyphens w:val="true"/>
      <w:bidi w:val="0"/>
      <w:spacing w:before="0" w:after="0"/>
      <w:ind w:firstLine="720" w:right="19772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Style21" w:customStyle="1">
    <w:name w:val="Style2"/>
    <w:basedOn w:val="Normal"/>
    <w:qFormat/>
    <w:rsid w:val="00690443"/>
    <w:pPr>
      <w:widowControl w:val="false"/>
      <w:spacing w:lineRule="exact" w:line="319" w:before="0" w:after="0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b86f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qFormat/>
    <w:pPr>
      <w:suppressLineNumbers/>
    </w:pPr>
    <w:rPr/>
  </w:style>
  <w:style w:type="paragraph" w:styleId="Style18" w:customStyle="1">
    <w:name w:val="Заголовок таблицы"/>
    <w:basedOn w:val="Style17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9398B-6FEE-4C6A-B9AA-26E0BB95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950</TotalTime>
  <Application>LibreOffice/7.6.2.1$Windows_X86_64 LibreOffice_project/56f7684011345957bbf33a7ee678afaf4d2ba333</Application>
  <AppVersion>15.0000</AppVersion>
  <DocSecurity>0</DocSecurity>
  <Pages>16</Pages>
  <Words>2394</Words>
  <Characters>16104</Characters>
  <CharactersWithSpaces>18392</CharactersWithSpaces>
  <Paragraphs>546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2016-09-26T05:21:00Z</dcterms:created>
  <dc:creator>Соколова Елена Ивановна</dc:creator>
  <dc:description/>
  <dc:language>ru-RU</dc:language>
  <cp:lastModifiedBy/>
  <cp:lastPrinted>2025-01-24T10:29:00Z</cp:lastPrinted>
  <dcterms:modified xsi:type="dcterms:W3CDTF">2025-02-05T15:30:31Z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